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71B" w:rsidRPr="002D0085" w:rsidRDefault="006B571B" w:rsidP="006B571B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3991"/>
      <w:bookmarkStart w:id="1" w:name="_Hlk211860166"/>
      <w:r w:rsidRPr="002D0085">
        <w:rPr>
          <w:rFonts w:ascii="標楷體" w:eastAsia="標楷體" w:hAnsi="標楷體" w:hint="eastAsia"/>
          <w:b/>
          <w:sz w:val="56"/>
          <w:szCs w:val="56"/>
        </w:rPr>
        <w:t>圖書暨資訊處</w:t>
      </w:r>
      <w:bookmarkEnd w:id="0"/>
    </w:p>
    <w:p w:rsidR="006B571B" w:rsidRPr="002D0085" w:rsidRDefault="006B571B" w:rsidP="006B571B">
      <w:pPr>
        <w:pStyle w:val="21"/>
        <w:spacing w:line="240" w:lineRule="auto"/>
        <w:rPr>
          <w:rFonts w:ascii="Times New Roman" w:hAnsi="Times New Roman" w:cs="Times New Roman"/>
        </w:rPr>
      </w:pPr>
      <w:bookmarkStart w:id="2" w:name="_Toc92798186"/>
      <w:bookmarkStart w:id="3" w:name="_Toc99130197"/>
      <w:bookmarkStart w:id="4" w:name="_Toc146031029"/>
      <w:bookmarkStart w:id="5" w:name="_Toc217383992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6" w:name="圖書暨資訊處"/>
      <w:r w:rsidRPr="002D0085">
        <w:rPr>
          <w:rFonts w:ascii="Times New Roman" w:hAnsi="Times New Roman" w:cs="Times New Roman"/>
        </w:rPr>
        <w:t>圖書暨資訊處</w:t>
      </w:r>
      <w:bookmarkEnd w:id="6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2"/>
      <w:bookmarkEnd w:id="3"/>
      <w:bookmarkEnd w:id="4"/>
      <w:bookmarkEnd w:id="5"/>
    </w:p>
    <w:p w:rsidR="006B571B" w:rsidRPr="002D0085" w:rsidRDefault="006B571B" w:rsidP="006B571B">
      <w:pPr>
        <w:jc w:val="right"/>
        <w:rPr>
          <w:rFonts w:ascii="Times New Roman" w:eastAsia="標楷體" w:hAnsi="Times New Roman" w:cs="Times New Roman"/>
        </w:rPr>
      </w:pPr>
    </w:p>
    <w:tbl>
      <w:tblPr>
        <w:tblW w:w="53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990"/>
        <w:gridCol w:w="2931"/>
        <w:gridCol w:w="558"/>
        <w:gridCol w:w="842"/>
        <w:gridCol w:w="844"/>
        <w:gridCol w:w="1072"/>
        <w:gridCol w:w="2258"/>
      </w:tblGrid>
      <w:tr w:rsidR="006B571B" w:rsidRPr="002D0085" w:rsidTr="00501E24">
        <w:trPr>
          <w:tblHeader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4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2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0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6B571B" w:rsidRPr="002D0085" w:rsidTr="00501E24">
        <w:trPr>
          <w:tblHeader/>
          <w:jc w:val="center"/>
        </w:trPr>
        <w:tc>
          <w:tcPr>
            <w:tcW w:w="341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2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開發及程式修改作業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系統開發及程式修改作業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文書編製作業A系統文書製作與修改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1180-002-1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系統文件編製作業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系統文件製作與修改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文書編製作業B系統文書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1180-002-2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系統文件編製作業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系統文件管理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A資訊安全規範與存取控制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程式及資料之存取作業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資訊安全與存取控制</w:t>
              </w:r>
            </w:hyperlink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規範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B使用者權限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程式及資料之存取作業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使用者權限管理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C程式及資料檔案存取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程式及資料之存取作業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程式及資料檔案存取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料輸出入及處理作業A資料輸入及處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1180-004-1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資料輸出入及處理作業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資料輸入及處理作業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料輸出入及處理作業B資料輸出及處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1180-004-2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資料輸出入及處理作業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資料輸出及處理作業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檔案及設備之安全作業A實體安全及機房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1180-005-1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檔案及設備之安全作業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實體安全及機房管理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檔案及設備之安全作業B備份及備援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1180-005-2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檔案及設備之安全作業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備份及備援管理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A硬體及系統軟體之採購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硬體及系統軟體之使用與維護作業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硬體及系統軟體之採購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B硬體及系統軟體之維護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硬體及系統軟體之使用與維護作業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硬體及系統軟體之維護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C智慧財產權之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硬體及系統軟體之使用與維護作業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智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lastRenderedPageBreak/>
                <w:t>慧財產權之管理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復原計畫及測試作業A復原計畫及演練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1180-007-1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系統復原計畫及測試作業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復原計畫及演練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復原計畫及測試作業B重要電腦設施之故障復原及測試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1180-007-2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系統復原計畫及測試作業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重要電腦設施之故障復原及測試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訊安全之檢查作業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1180-008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資訊安全之檢查作業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徵集與採購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1180-009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圖書資料徵集與採購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期刊採購與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1180-010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 xml:space="preserve"> 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期刊採購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、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管理</w:t>
              </w:r>
            </w:hyperlink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</w:rPr>
              <w:t>與裝訂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分類編目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圖書資料分類編目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交贈處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</w:t>
              </w:r>
              <w:proofErr w:type="gramStart"/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資料交贈處理</w:t>
              </w:r>
              <w:proofErr w:type="gramEnd"/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A圖書資料流通管理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1180-013-1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流通櫃台管理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圖書資料流通管理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B讀者資料維護管理權限生效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1180-013-2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流通櫃台管理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讀者資料維護管理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權限生效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C讀者資料維護管理權限失效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1180-013-3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流通櫃台管理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讀者資料維護管理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權限失效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B064B8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064B8">
              <w:rPr>
                <w:rFonts w:ascii="Times New Roman" w:eastAsia="標楷體" w:hAnsi="Times New Roman" w:cs="Times New Roman"/>
                <w:color w:val="FF0000"/>
                <w:szCs w:val="24"/>
              </w:rPr>
              <w:t>圖</w:t>
            </w:r>
            <w:r w:rsidRPr="00B064B8">
              <w:rPr>
                <w:rFonts w:ascii="Times New Roman" w:eastAsia="標楷體" w:hAnsi="Times New Roman" w:cs="Times New Roman"/>
                <w:color w:val="FF0000"/>
                <w:szCs w:val="24"/>
              </w:rPr>
              <w:t>14-2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B064B8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圖書資料典藏及書庫管理B圖書資料異常狀況處理" w:history="1">
              <w:r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1180-014-2</w:t>
              </w:r>
              <w:r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圖書資料典藏及書庫管理</w:t>
              </w:r>
              <w:r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 w:rsidRPr="00B064B8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圖</w:t>
              </w:r>
              <w:r w:rsidRPr="00B064B8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書資料異常狀況處理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B064B8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064B8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B064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71B" w:rsidRPr="00B064B8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708A5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71B" w:rsidRPr="00B064B8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71B" w:rsidRPr="00B064B8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B064B8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064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依照現有人力配置數為考量，適時調整條文，符合實際可執行之內容。</w:t>
            </w: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淘汰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圖書資料淘汰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參考服務A參考咨詢服務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1180-016-1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參考服務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參考諮詢服務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參考服務B線上資料庫推廣活動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1180-016-2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參考服務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proofErr w:type="gramStart"/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線上資料庫</w:t>
              </w:r>
              <w:proofErr w:type="gramEnd"/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推廣活動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線上資料庫之採購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1180-017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線上資料庫之採購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博碩士數位論文上傳繳交作業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1180-018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博碩士數位論文上傳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審核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A對外申請件_申請人借書（含文獻複印）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對外申請件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申請人借書（含文獻複印）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B對外申請件_申請人還書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對外申請件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申請人還書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32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C外來申請件_申請人借書（含文獻複印）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外來申請件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申請人借書（含文獻複印）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19-4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D外來申請件_申請人還書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館際合作事項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-D.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外來申請件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申請人還書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委外開發流程新系統招標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1180-020-1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系統委外開發流程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新系統招標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委外開發流程現有系統功能擴增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1180-020-2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系統委外開發流程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現有系統功能擴增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圖書館設備維護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圖書館設備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檢查與報修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圖書資料點收及上架" w:history="1"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圖書資料點收</w:t>
              </w:r>
            </w:hyperlink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</w:rPr>
              <w:t>、上架及盤點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571B" w:rsidRPr="002D0085" w:rsidTr="00501E24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1180-010-2</w:t>
            </w: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裝訂期刊作業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作廢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併入「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1180-010-1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期刊採購與管理」。</w:t>
            </w:r>
          </w:p>
        </w:tc>
      </w:tr>
    </w:tbl>
    <w:p w:rsidR="006B571B" w:rsidRPr="002D0085" w:rsidRDefault="006B571B" w:rsidP="006B571B">
      <w:pPr>
        <w:jc w:val="right"/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圖書暨資訊處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圖書暨資訊處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:rsidR="006B571B" w:rsidRPr="002D0085" w:rsidRDefault="006B571B" w:rsidP="006B571B">
      <w:pPr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</w:rPr>
        <w:br w:type="page"/>
      </w:r>
    </w:p>
    <w:p w:rsidR="006B571B" w:rsidRPr="002D0085" w:rsidRDefault="006B571B" w:rsidP="006B571B">
      <w:pPr>
        <w:pStyle w:val="31"/>
        <w:jc w:val="center"/>
        <w:rPr>
          <w:rFonts w:ascii="Times New Roman" w:hAnsi="Times New Roman" w:cs="Times New Roman"/>
        </w:rPr>
      </w:pPr>
      <w:bookmarkStart w:id="7" w:name="_Toc146031030"/>
      <w:bookmarkStart w:id="8" w:name="_Toc217383993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圖書暨資訊處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內控項目風險評估彙總表</w:t>
      </w:r>
      <w:bookmarkEnd w:id="7"/>
      <w:bookmarkEnd w:id="8"/>
    </w:p>
    <w:p w:rsidR="006B571B" w:rsidRPr="002D0085" w:rsidRDefault="006B571B" w:rsidP="006B571B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58"/>
        <w:gridCol w:w="1068"/>
        <w:gridCol w:w="2978"/>
        <w:gridCol w:w="1987"/>
        <w:gridCol w:w="849"/>
        <w:gridCol w:w="709"/>
        <w:gridCol w:w="832"/>
      </w:tblGrid>
      <w:tr w:rsidR="006B571B" w:rsidRPr="002D0085" w:rsidTr="00501E24">
        <w:trPr>
          <w:tblHeader/>
        </w:trPr>
        <w:tc>
          <w:tcPr>
            <w:tcW w:w="37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</w:t>
            </w:r>
          </w:p>
          <w:p w:rsidR="006B571B" w:rsidRPr="002D0085" w:rsidRDefault="006B571B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布代號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6B571B" w:rsidRPr="002D0085" w:rsidTr="00501E24">
        <w:trPr>
          <w:trHeight w:val="210"/>
        </w:trPr>
        <w:tc>
          <w:tcPr>
            <w:tcW w:w="378" w:type="pct"/>
            <w:vMerge w:val="restar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38" w:type="pct"/>
            <w:vMerge w:val="restar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6" w:type="pct"/>
            <w:vMerge w:val="restar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0" w:type="pct"/>
            <w:vMerge w:val="restar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系統開發及程式修改作業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21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0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1180-002-1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系統文件編製作業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系統文件製作與修改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1180-002-2</w:t>
            </w:r>
            <w:r w:rsidRPr="002D0085">
              <w:rPr>
                <w:rFonts w:ascii="標楷體" w:eastAsia="標楷體" w:hAnsi="標楷體" w:hint="eastAsia"/>
              </w:rPr>
              <w:t>系統文件編製作業-B.系統文件管理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程式及資料之存取作業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資訊安全與存取控制規範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程式及資料之存取作業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使用者權限管理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3-3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1180-003-3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程式及資料之存取作業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程式及資料檔案存取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4-1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1180-004-1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資料輸出入及處理作業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資料輸入及處理作業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4-2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1180-004-2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資料輸出入及處理作業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資料輸出及處理作業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5-1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1180-005-1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檔案及設備之安全作業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實體安全及機房管理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5-2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1180-005-2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檔案及設備之安全作業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備份及備援管理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6-1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1180-006-1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硬體及系統軟體之使用與維護作業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硬體及系統軟體之採購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6-2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1180-006-2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硬體及系統軟體之使用與維護作業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硬體及系統軟體之維護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9" w:name="OLE_LINK36"/>
            <w:bookmarkStart w:id="10" w:name="OLE_LINK37"/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  <w:bookmarkEnd w:id="9"/>
            <w:bookmarkEnd w:id="10"/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6-3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1180-006-3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硬體及系統軟體之使用與維護作業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智慧財產權之管理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11" w:name="OLE_LINK38"/>
            <w:bookmarkStart w:id="12" w:name="OLE_LINK39"/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  <w:bookmarkEnd w:id="11"/>
            <w:bookmarkEnd w:id="12"/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7-1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1180-007-1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系統復原計畫及測試作業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復原計畫及演練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7-2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1180-007-2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系統復原計畫及測試作業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重要電腦設施之故障復原及測試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556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550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資訊安全之檢查作業</w:t>
            </w:r>
          </w:p>
        </w:tc>
        <w:tc>
          <w:tcPr>
            <w:tcW w:w="1034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550" w:type="pct"/>
            <w:tcBorders>
              <w:bottom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1180-009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圖書資料徵集與採購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1180-010</w:t>
            </w:r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期刊採購、管理與裝訂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550" w:type="pct"/>
            <w:tcBorders>
              <w:top w:val="single" w:sz="4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圖書資料分類編目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</w:tcBorders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資料交贈處理</w:t>
            </w:r>
            <w:proofErr w:type="gramEnd"/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13-1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流通櫃台管理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圖書資料流通管理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13-2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流通櫃台管理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讀者資料維護管理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權限生效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23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13-3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1180-013-3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流通櫃台管理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讀者資料維護管理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權限失效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24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14-2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1180-014-2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圖書資料典藏及書庫管理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圖書資料異常狀況處理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圖書資料淘汰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26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16-1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1180-016-1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參考服務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參考</w:t>
            </w:r>
            <w:r w:rsidRPr="002D0085">
              <w:rPr>
                <w:rFonts w:ascii="標楷體" w:eastAsia="標楷體" w:hAnsi="標楷體" w:hint="eastAsia"/>
              </w:rPr>
              <w:t>諮</w:t>
            </w:r>
            <w:r w:rsidRPr="002D0085">
              <w:rPr>
                <w:rFonts w:ascii="標楷體" w:eastAsia="標楷體" w:hAnsi="標楷體" w:cs="Times New Roman"/>
                <w:szCs w:val="24"/>
              </w:rPr>
              <w:t>詢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服務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27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16-2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1180-016-2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參考服務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線上資料庫</w:t>
            </w:r>
            <w:proofErr w:type="gramEnd"/>
            <w:r w:rsidRPr="002D0085">
              <w:rPr>
                <w:rFonts w:ascii="Times New Roman" w:eastAsia="標楷體" w:hAnsi="Times New Roman" w:cs="Times New Roman"/>
                <w:szCs w:val="24"/>
              </w:rPr>
              <w:t>推廣活動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72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1180-017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線上資料庫之採購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29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kern w:val="0"/>
                <w:szCs w:val="24"/>
                <w:u w:val="none"/>
              </w:rPr>
              <w:t>1180-018</w:t>
            </w:r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kern w:val="0"/>
                <w:szCs w:val="24"/>
                <w:u w:val="none"/>
              </w:rPr>
              <w:t>博碩士數位論文上傳審核作業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19-1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1180-019-1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對外申請件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19-2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1180-019-2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對外申請件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32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19-3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1180-019-3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-C.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外來申請件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申請人借書（含文獻複印）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33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19-4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1180-019-4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館際合作事項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D.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外來申請件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申請人還書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34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1180-020-1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系統委外開發流程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新系統招標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  <w:hideMark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35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1180-020-2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系統委外開發流程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現有系統功能擴增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1180-021</w:t>
            </w:r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圖書館設備檢查與報修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法規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6B571B" w:rsidRPr="002D0085" w:rsidTr="00501E24">
        <w:trPr>
          <w:trHeight w:val="180"/>
        </w:trPr>
        <w:tc>
          <w:tcPr>
            <w:tcW w:w="378" w:type="pct"/>
            <w:vMerge/>
            <w:vAlign w:val="center"/>
          </w:tcPr>
          <w:p w:rsidR="006B571B" w:rsidRPr="002D0085" w:rsidRDefault="006B571B" w:rsidP="00501E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56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550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1180-022</w:t>
            </w:r>
            <w:r w:rsidRPr="002D0085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圖書資料點收、上架及盤點</w:t>
            </w:r>
          </w:p>
        </w:tc>
        <w:tc>
          <w:tcPr>
            <w:tcW w:w="1034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申訴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抱怨</w:t>
            </w:r>
          </w:p>
        </w:tc>
        <w:tc>
          <w:tcPr>
            <w:tcW w:w="442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:rsidR="006B571B" w:rsidRPr="002D0085" w:rsidRDefault="006B571B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:rsidR="006B571B" w:rsidRPr="002D0085" w:rsidRDefault="006B571B" w:rsidP="006B571B">
      <w:pPr>
        <w:ind w:right="80"/>
        <w:jc w:val="righ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圖書暨資訊處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圖書暨資訊處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:rsidR="006B571B" w:rsidRPr="002D0085" w:rsidRDefault="006B571B" w:rsidP="006B571B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2D008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6B571B" w:rsidRPr="002D0085" w:rsidRDefault="006B571B" w:rsidP="006B571B">
      <w:pPr>
        <w:pStyle w:val="31"/>
        <w:jc w:val="center"/>
        <w:rPr>
          <w:rFonts w:ascii="Times New Roman" w:hAnsi="Times New Roman" w:cs="Times New Roman"/>
        </w:rPr>
      </w:pPr>
      <w:bookmarkStart w:id="13" w:name="_Toc146031031"/>
      <w:bookmarkStart w:id="14" w:name="_Toc217383994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圖書暨資訊處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風險圖像</w:t>
      </w:r>
      <w:bookmarkEnd w:id="13"/>
      <w:bookmarkEnd w:id="14"/>
    </w:p>
    <w:p w:rsidR="006B571B" w:rsidRPr="002D0085" w:rsidRDefault="006B571B" w:rsidP="006B571B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686"/>
        <w:gridCol w:w="2417"/>
        <w:gridCol w:w="2553"/>
      </w:tblGrid>
      <w:tr w:rsidR="006B571B" w:rsidRPr="002D0085" w:rsidTr="00501E24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6B571B" w:rsidRPr="002D0085" w:rsidTr="00501E24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B571B" w:rsidRPr="002D0085" w:rsidTr="00501E24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9,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13-3,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，圖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20-2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B571B" w:rsidRPr="002D0085" w:rsidTr="00501E24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16-2 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19-3,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19-4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6B571B" w:rsidRPr="002D0085" w:rsidRDefault="006B571B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B571B" w:rsidRPr="002D0085" w:rsidTr="00501E24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571B" w:rsidRPr="002D0085" w:rsidRDefault="006B571B" w:rsidP="00501E24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6B571B" w:rsidRPr="002D0085" w:rsidTr="00501E2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571B" w:rsidRPr="002D0085" w:rsidRDefault="006B571B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71B" w:rsidRPr="002D0085" w:rsidRDefault="006B571B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6B571B" w:rsidRPr="002D0085" w:rsidRDefault="006B571B" w:rsidP="006B571B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圖書暨資訊處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圖書暨資訊處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:rsidR="006B571B" w:rsidRPr="002D0085" w:rsidRDefault="006B571B" w:rsidP="006B571B">
      <w:pPr>
        <w:rPr>
          <w:rFonts w:ascii="Times New Roman" w:eastAsia="標楷體" w:hAnsi="Times New Roman" w:cs="Times New Roman"/>
          <w:sz w:val="28"/>
          <w:szCs w:val="28"/>
        </w:rPr>
      </w:pPr>
      <w:r w:rsidRPr="002D0085">
        <w:rPr>
          <w:rFonts w:ascii="Times New Roman" w:eastAsia="標楷體" w:hAnsi="Times New Roman" w:cs="Times New Roman"/>
          <w:kern w:val="0"/>
          <w:sz w:val="28"/>
          <w:szCs w:val="28"/>
        </w:rPr>
        <w:t>圖書暨資訊處現有內控項目經風險分析後，屬風險等級高者</w:t>
      </w:r>
      <w:r w:rsidRPr="002D0085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2</w:t>
      </w:r>
      <w:r w:rsidRPr="002D0085">
        <w:rPr>
          <w:rFonts w:ascii="Times New Roman" w:eastAsia="標楷體" w:hAnsi="Times New Roman" w:cs="Times New Roman"/>
          <w:kern w:val="0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13</w:t>
      </w:r>
      <w:r w:rsidRPr="002D0085">
        <w:rPr>
          <w:rFonts w:ascii="Times New Roman" w:eastAsia="標楷體" w:hAnsi="Times New Roman" w:cs="Times New Roman"/>
          <w:kern w:val="0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>22</w:t>
      </w:r>
      <w:r w:rsidRPr="002D0085">
        <w:rPr>
          <w:rFonts w:ascii="Times New Roman" w:eastAsia="標楷體" w:hAnsi="Times New Roman" w:cs="Times New Roman"/>
          <w:kern w:val="0"/>
          <w:sz w:val="28"/>
          <w:szCs w:val="28"/>
        </w:rPr>
        <w:t>項。</w:t>
      </w:r>
    </w:p>
    <w:p w:rsidR="005B1C84" w:rsidRPr="006B571B" w:rsidRDefault="005B1C84">
      <w:bookmarkStart w:id="15" w:name="_GoBack"/>
      <w:bookmarkEnd w:id="1"/>
      <w:bookmarkEnd w:id="15"/>
    </w:p>
    <w:sectPr w:rsidR="005B1C84" w:rsidRPr="006B571B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1B"/>
    <w:rsid w:val="003D2A0D"/>
    <w:rsid w:val="005B1C84"/>
    <w:rsid w:val="006B571B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00A87-CC6C-4010-860F-3E1DE4B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71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7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7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B571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57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B57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B571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6B571B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6B571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6B571B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6B571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6B571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B571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B571B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B571B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B571B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6B571B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6B571B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6B571B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6B571B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6B571B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6B571B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6B571B"/>
    <w:pPr>
      <w:ind w:leftChars="1600" w:left="3840"/>
    </w:pPr>
  </w:style>
  <w:style w:type="paragraph" w:styleId="a5">
    <w:name w:val="header"/>
    <w:basedOn w:val="a"/>
    <w:link w:val="a6"/>
    <w:uiPriority w:val="99"/>
    <w:unhideWhenUsed/>
    <w:rsid w:val="006B5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57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5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571B"/>
    <w:rPr>
      <w:sz w:val="20"/>
      <w:szCs w:val="20"/>
    </w:rPr>
  </w:style>
  <w:style w:type="character" w:customStyle="1" w:styleId="markedcontent">
    <w:name w:val="markedcontent"/>
    <w:basedOn w:val="a0"/>
    <w:rsid w:val="006B571B"/>
  </w:style>
  <w:style w:type="paragraph" w:styleId="a9">
    <w:name w:val="List Paragraph"/>
    <w:aliases w:val="標1,卑南壹,1.1.1.1清單段落,標題 (4),(二),列點,1.1,參考文獻,標11,標12,lp1,FooterText,numbered,Paragraphe de liste1"/>
    <w:basedOn w:val="a"/>
    <w:link w:val="aa"/>
    <w:uiPriority w:val="34"/>
    <w:qFormat/>
    <w:rsid w:val="006B571B"/>
    <w:pPr>
      <w:ind w:leftChars="200" w:left="480"/>
    </w:pPr>
  </w:style>
  <w:style w:type="table" w:styleId="ab">
    <w:name w:val="Table Grid"/>
    <w:basedOn w:val="a1"/>
    <w:uiPriority w:val="59"/>
    <w:rsid w:val="006B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B5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B571B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6B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iPriority w:val="99"/>
    <w:rsid w:val="006B571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--">
    <w:name w:val="規章內文--條一、"/>
    <w:basedOn w:val="a"/>
    <w:autoRedefine/>
    <w:uiPriority w:val="99"/>
    <w:rsid w:val="006B571B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">
    <w:name w:val="Salutation"/>
    <w:basedOn w:val="a"/>
    <w:next w:val="a"/>
    <w:link w:val="af0"/>
    <w:uiPriority w:val="99"/>
    <w:rsid w:val="006B571B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0">
    <w:name w:val="問候 字元"/>
    <w:basedOn w:val="a0"/>
    <w:link w:val="af"/>
    <w:uiPriority w:val="99"/>
    <w:rsid w:val="006B571B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6B571B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6B571B"/>
    <w:rPr>
      <w:rFonts w:ascii="新細明體, PMingLiU" w:eastAsia="新細明體, PMingLiU" w:hAnsi="新細明體, PMingLiU" w:cs="新細明體, PMingLiU"/>
      <w:kern w:val="3"/>
      <w:szCs w:val="24"/>
    </w:rPr>
  </w:style>
  <w:style w:type="character" w:styleId="af1">
    <w:name w:val="FollowedHyperlink"/>
    <w:basedOn w:val="a0"/>
    <w:uiPriority w:val="99"/>
    <w:semiHidden/>
    <w:unhideWhenUsed/>
    <w:rsid w:val="006B571B"/>
    <w:rPr>
      <w:color w:val="954F72" w:themeColor="followed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6B571B"/>
    <w:rPr>
      <w:color w:val="605E5C"/>
      <w:shd w:val="clear" w:color="auto" w:fill="E1DFDD"/>
    </w:rPr>
  </w:style>
  <w:style w:type="table" w:customStyle="1" w:styleId="24">
    <w:name w:val="表格格線2"/>
    <w:basedOn w:val="a1"/>
    <w:next w:val="ab"/>
    <w:uiPriority w:val="39"/>
    <w:rsid w:val="006B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6B571B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6B571B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6B571B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aa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9"/>
    <w:uiPriority w:val="34"/>
    <w:locked/>
    <w:rsid w:val="006B571B"/>
  </w:style>
  <w:style w:type="character" w:customStyle="1" w:styleId="16">
    <w:name w:val="未解析的提及1"/>
    <w:basedOn w:val="a0"/>
    <w:uiPriority w:val="99"/>
    <w:semiHidden/>
    <w:rsid w:val="006B571B"/>
    <w:rPr>
      <w:color w:val="605E5C"/>
      <w:shd w:val="clear" w:color="auto" w:fill="E1DFDD"/>
    </w:rPr>
  </w:style>
  <w:style w:type="character" w:customStyle="1" w:styleId="25">
    <w:name w:val="未解析的提及項目2"/>
    <w:basedOn w:val="a0"/>
    <w:uiPriority w:val="99"/>
    <w:semiHidden/>
    <w:unhideWhenUsed/>
    <w:rsid w:val="006B571B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uiPriority w:val="99"/>
    <w:semiHidden/>
    <w:unhideWhenUsed/>
    <w:rsid w:val="006B571B"/>
    <w:rPr>
      <w:color w:val="605E5C"/>
      <w:shd w:val="clear" w:color="auto" w:fill="E1DFDD"/>
    </w:rPr>
  </w:style>
  <w:style w:type="character" w:customStyle="1" w:styleId="26">
    <w:name w:val="未解析的提及2"/>
    <w:basedOn w:val="a0"/>
    <w:uiPriority w:val="99"/>
    <w:semiHidden/>
    <w:unhideWhenUsed/>
    <w:rsid w:val="006B571B"/>
    <w:rPr>
      <w:color w:val="605E5C"/>
      <w:shd w:val="clear" w:color="auto" w:fill="E1DFDD"/>
    </w:rPr>
  </w:style>
  <w:style w:type="character" w:customStyle="1" w:styleId="35">
    <w:name w:val="未解析的提及3"/>
    <w:basedOn w:val="a0"/>
    <w:uiPriority w:val="99"/>
    <w:semiHidden/>
    <w:unhideWhenUsed/>
    <w:rsid w:val="006B571B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B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2025-12-23T08:05:00Z</dcterms:created>
  <dcterms:modified xsi:type="dcterms:W3CDTF">2025-12-23T08:05:00Z</dcterms:modified>
</cp:coreProperties>
</file>