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2A6" w:rsidRPr="002D0085" w:rsidRDefault="004132A6" w:rsidP="004132A6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217383921"/>
      <w:r w:rsidRPr="002D0085">
        <w:rPr>
          <w:rFonts w:ascii="標楷體" w:eastAsia="標楷體" w:hAnsi="標楷體" w:hint="eastAsia"/>
          <w:b/>
          <w:sz w:val="56"/>
          <w:szCs w:val="56"/>
        </w:rPr>
        <w:t>總務處</w:t>
      </w:r>
      <w:bookmarkEnd w:id="0"/>
    </w:p>
    <w:p w:rsidR="004132A6" w:rsidRPr="002D0085" w:rsidRDefault="004132A6" w:rsidP="004132A6">
      <w:pPr>
        <w:pStyle w:val="21"/>
        <w:spacing w:line="240" w:lineRule="auto"/>
        <w:rPr>
          <w:rFonts w:ascii="Times New Roman" w:hAnsi="Times New Roman" w:cs="Times New Roman"/>
        </w:rPr>
      </w:pPr>
      <w:bookmarkStart w:id="1" w:name="_Toc92798118"/>
      <w:bookmarkStart w:id="2" w:name="_Toc99130129"/>
      <w:bookmarkStart w:id="3" w:name="_Toc146031013"/>
      <w:bookmarkStart w:id="4" w:name="_Toc217383922"/>
      <w:r w:rsidRPr="002D008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4</w:t>
      </w:r>
      <w:r w:rsidRPr="002D0085">
        <w:rPr>
          <w:rFonts w:ascii="Times New Roman" w:hAnsi="Times New Roman" w:cs="Times New Roman"/>
        </w:rPr>
        <w:t>學年度</w:t>
      </w:r>
      <w:r w:rsidRPr="002D0085">
        <w:rPr>
          <w:rFonts w:ascii="Times New Roman" w:hAnsi="Times New Roman" w:cs="Times New Roman"/>
        </w:rPr>
        <w:t xml:space="preserve"> </w:t>
      </w:r>
      <w:bookmarkStart w:id="5" w:name="總務處"/>
      <w:r w:rsidRPr="002D0085">
        <w:rPr>
          <w:rFonts w:ascii="Times New Roman" w:hAnsi="Times New Roman" w:cs="Times New Roman"/>
        </w:rPr>
        <w:t>總務處</w:t>
      </w:r>
      <w:bookmarkEnd w:id="5"/>
      <w:r w:rsidRPr="002D0085">
        <w:rPr>
          <w:rFonts w:ascii="Times New Roman" w:hAnsi="Times New Roman" w:cs="Times New Roman"/>
        </w:rPr>
        <w:t xml:space="preserve"> </w:t>
      </w:r>
      <w:r w:rsidRPr="002D0085">
        <w:rPr>
          <w:rFonts w:ascii="Times New Roman" w:hAnsi="Times New Roman" w:cs="Times New Roman"/>
        </w:rPr>
        <w:t>內部控制項目修訂總表</w:t>
      </w:r>
      <w:bookmarkEnd w:id="1"/>
      <w:bookmarkEnd w:id="2"/>
      <w:bookmarkEnd w:id="3"/>
      <w:bookmarkEnd w:id="4"/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29"/>
        <w:gridCol w:w="1054"/>
        <w:gridCol w:w="2515"/>
        <w:gridCol w:w="456"/>
        <w:gridCol w:w="822"/>
        <w:gridCol w:w="987"/>
        <w:gridCol w:w="888"/>
        <w:gridCol w:w="2657"/>
      </w:tblGrid>
      <w:tr w:rsidR="004132A6" w:rsidRPr="002D0085" w:rsidTr="00501E24">
        <w:trPr>
          <w:tblHeader/>
          <w:jc w:val="center"/>
        </w:trPr>
        <w:tc>
          <w:tcPr>
            <w:tcW w:w="267" w:type="pct"/>
            <w:vMerge w:val="restar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32" w:type="pct"/>
            <w:vMerge w:val="restar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269" w:type="pct"/>
            <w:vMerge w:val="restar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230" w:type="pct"/>
            <w:vMerge w:val="restar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版次</w:t>
            </w:r>
          </w:p>
        </w:tc>
        <w:tc>
          <w:tcPr>
            <w:tcW w:w="913" w:type="pct"/>
            <w:gridSpan w:val="2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內容是否修改</w:t>
            </w:r>
          </w:p>
        </w:tc>
        <w:tc>
          <w:tcPr>
            <w:tcW w:w="448" w:type="pct"/>
            <w:vMerge w:val="restar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341" w:type="pct"/>
            <w:vMerge w:val="restar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本次修訂摘要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原因</w:t>
            </w:r>
          </w:p>
        </w:tc>
      </w:tr>
      <w:tr w:rsidR="004132A6" w:rsidRPr="002D0085" w:rsidTr="00501E24">
        <w:trPr>
          <w:tblHeader/>
          <w:jc w:val="center"/>
        </w:trPr>
        <w:tc>
          <w:tcPr>
            <w:tcW w:w="267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2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9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0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448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trHeight w:val="32"/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採購管理作業10萬元以上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1130-001-1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採購管理作業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5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萬元（含）以上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採購管理作業至3萬元（含）以上至10萬元以下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1130-001-2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採購管理作業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6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萬元（含）以上至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5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萬元以下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1-3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採購管理作業1萬元（含）以上至3萬元以下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1130-001-3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採購管理作業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萬元（含）以上至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6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萬元以下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教職員宿舍申請分配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教職員宿舍申請分配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校車管理作業—校車支援申請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1130-003-1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校車管理作業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校車支援申請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校車管理作業—校車事故異常管理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1130-003-2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校車管理作業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校車事故、異常管理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勤務支援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1130-004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勤務支援作業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5-1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A財產新增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財物管理作業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財產新增作業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5-2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B財產驗收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財物管理作業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財產驗收作業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5-3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C財產移轉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1130-005-3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財物管理作業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-C.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財產移轉作業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5-4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D物品借用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1130-005-4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財物管理作業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-D.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物品借用作業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5-5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E財產盤點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1130-005-5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財物管理作業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-E.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財產盤點作業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5-6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F財產報廢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1130-005-6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財物管理作業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-F.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財產報廢作業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場地管理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1130-006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場地管理作業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收文管理作業_A紙本收文管理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1130-007-1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收文管理作業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紙本收文管理作業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收文管理作業_B電子收文管理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1130-007-2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收文管理作業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電子收文管理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lastRenderedPageBreak/>
                <w:t>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lastRenderedPageBreak/>
              <w:t>04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發文管理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1130-008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發文管理作業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公文調閱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1130-009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公文調閱作業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收款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收款作業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付款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付款作業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532" w:type="pct"/>
            <w:vAlign w:val="center"/>
          </w:tcPr>
          <w:p w:rsidR="004132A6" w:rsidRPr="00C3508D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C3508D">
              <w:rPr>
                <w:rFonts w:ascii="Times New Roman" w:eastAsia="標楷體" w:hAnsi="Times New Roman" w:cs="Times New Roman"/>
                <w:color w:val="FF0000"/>
                <w:szCs w:val="24"/>
              </w:rPr>
              <w:t>總</w:t>
            </w:r>
            <w:r w:rsidRPr="00C3508D">
              <w:rPr>
                <w:rFonts w:ascii="Times New Roman" w:eastAsia="標楷體" w:hAnsi="Times New Roman" w:cs="Times New Roman"/>
                <w:color w:val="FF0000"/>
                <w:szCs w:val="24"/>
              </w:rPr>
              <w:t>13-1</w:t>
            </w:r>
          </w:p>
        </w:tc>
        <w:tc>
          <w:tcPr>
            <w:tcW w:w="1269" w:type="pct"/>
            <w:vAlign w:val="center"/>
          </w:tcPr>
          <w:p w:rsidR="004132A6" w:rsidRPr="00C3508D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設備維護保養作業—一般設備" w:history="1">
              <w:r w:rsidRPr="00C3508D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1130-013-1</w:t>
              </w:r>
              <w:r w:rsidRPr="00C3508D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設備維護保養作業</w:t>
              </w:r>
              <w:r w:rsidRPr="00C3508D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 w:rsidRPr="00C3508D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一般設備</w:t>
              </w:r>
            </w:hyperlink>
          </w:p>
        </w:tc>
        <w:tc>
          <w:tcPr>
            <w:tcW w:w="230" w:type="pct"/>
            <w:vAlign w:val="center"/>
          </w:tcPr>
          <w:p w:rsidR="004132A6" w:rsidRPr="00C3508D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C3508D">
              <w:rPr>
                <w:rFonts w:ascii="Times New Roman" w:eastAsia="標楷體" w:hAnsi="Times New Roman" w:cs="Times New Roman"/>
                <w:color w:val="FF0000"/>
                <w:szCs w:val="24"/>
              </w:rPr>
              <w:t>0</w:t>
            </w:r>
            <w:r w:rsidRPr="00C3508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7</w:t>
            </w:r>
          </w:p>
        </w:tc>
        <w:tc>
          <w:tcPr>
            <w:tcW w:w="415" w:type="pct"/>
            <w:vAlign w:val="center"/>
          </w:tcPr>
          <w:p w:rsidR="004132A6" w:rsidRPr="00C3508D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C3508D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98" w:type="pct"/>
            <w:vAlign w:val="center"/>
          </w:tcPr>
          <w:p w:rsidR="004132A6" w:rsidRPr="00C3508D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48" w:type="pct"/>
            <w:vAlign w:val="center"/>
          </w:tcPr>
          <w:p w:rsidR="004132A6" w:rsidRPr="00C3508D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C3508D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C3508D">
              <w:rPr>
                <w:rFonts w:ascii="Times New Roman" w:eastAsia="標楷體" w:hAnsi="Times New Roman" w:cs="Times New Roman" w:hint="eastAsia"/>
                <w:color w:val="FF0000"/>
              </w:rPr>
              <w:t>依照</w:t>
            </w:r>
            <w:r w:rsidRPr="00C3508D">
              <w:rPr>
                <w:rFonts w:ascii="Times New Roman" w:eastAsia="標楷體" w:hAnsi="Times New Roman" w:cs="Times New Roman" w:hint="eastAsia"/>
                <w:color w:val="FF0000"/>
              </w:rPr>
              <w:t>114-1</w:t>
            </w:r>
            <w:r w:rsidRPr="00C3508D">
              <w:rPr>
                <w:rFonts w:ascii="Times New Roman" w:eastAsia="標楷體" w:hAnsi="Times New Roman" w:cs="Times New Roman" w:hint="eastAsia"/>
                <w:color w:val="FF0000"/>
              </w:rPr>
              <w:t>次內控會議紀錄將「宿舍電費費率檢核」納入內控文件。</w:t>
            </w: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13-2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設備維護保養作業—大型機電設備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1130-013-2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設備維護保養作業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大型機電設備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修繕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1130-014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修繕作業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教師研究室分配暨管理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1130-015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教師研究室分配暨管理作業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空間規劃暨分配委員會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1130-016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空間規劃暨分配委員會作業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場地外包經營管理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1130-017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場地外包經營管理作業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公文管考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1130-018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公文管考作業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校園邊坡安全穩定監測及巡檢修護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1130-019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校園邊坡安全穩定監測及巡檢修護作業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32A6" w:rsidRPr="002D0085" w:rsidTr="00501E24">
        <w:trPr>
          <w:jc w:val="center"/>
        </w:trPr>
        <w:tc>
          <w:tcPr>
            <w:tcW w:w="267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532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269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hyperlink w:anchor="不動產之處分、設定負擔、購置或出租。動產購置及附屬機構之設立、相" w:history="1">
              <w:r w:rsidRPr="002D0085">
                <w:rPr>
                  <w:rStyle w:val="a3"/>
                  <w:rFonts w:ascii="Times New Roman" w:eastAsia="標楷體" w:hAnsi="Times New Roman" w:cs="Times New Roman"/>
                </w:rPr>
                <w:t>1130-020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</w:rPr>
                <w:t>不動產之處分、設定負擔、購置或出租，及動產購置作業</w:t>
              </w:r>
            </w:hyperlink>
          </w:p>
        </w:tc>
        <w:tc>
          <w:tcPr>
            <w:tcW w:w="23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4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4132A6" w:rsidRPr="002D0085" w:rsidRDefault="004132A6" w:rsidP="004132A6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總務處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總務處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24"/>
          </w:rPr>
          <w:t>目錄</w:t>
        </w:r>
      </w:hyperlink>
    </w:p>
    <w:p w:rsidR="004132A6" w:rsidRPr="002D0085" w:rsidRDefault="004132A6" w:rsidP="004132A6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 w:rsidRPr="002D0085">
        <w:rPr>
          <w:rStyle w:val="a3"/>
          <w:rFonts w:ascii="Times New Roman" w:eastAsia="標楷體" w:hAnsi="Times New Roman" w:cs="Times New Roman"/>
          <w:sz w:val="16"/>
          <w:szCs w:val="16"/>
        </w:rPr>
        <w:br w:type="page"/>
      </w:r>
    </w:p>
    <w:p w:rsidR="004132A6" w:rsidRPr="002D0085" w:rsidRDefault="004132A6" w:rsidP="004132A6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4132A6" w:rsidRPr="002D0085" w:rsidRDefault="004132A6" w:rsidP="004132A6">
      <w:pPr>
        <w:pStyle w:val="31"/>
        <w:jc w:val="center"/>
        <w:rPr>
          <w:rFonts w:ascii="Times New Roman" w:hAnsi="Times New Roman" w:cs="Times New Roman"/>
          <w:sz w:val="36"/>
        </w:rPr>
      </w:pPr>
      <w:bookmarkStart w:id="6" w:name="_Toc146031014"/>
      <w:bookmarkStart w:id="7" w:name="_Toc217383923"/>
      <w:r w:rsidRPr="002D0085">
        <w:rPr>
          <w:rFonts w:ascii="Times New Roman" w:hAnsi="Times New Roman" w:cs="Times New Roman"/>
          <w:sz w:val="36"/>
        </w:rPr>
        <w:t>佛光大學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總務處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內控項目風險評估彙總表</w:t>
      </w:r>
      <w:bookmarkEnd w:id="6"/>
      <w:bookmarkEnd w:id="7"/>
    </w:p>
    <w:p w:rsidR="004132A6" w:rsidRPr="002D0085" w:rsidRDefault="004132A6" w:rsidP="004132A6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9"/>
        <w:gridCol w:w="1134"/>
        <w:gridCol w:w="2832"/>
        <w:gridCol w:w="1845"/>
        <w:gridCol w:w="707"/>
        <w:gridCol w:w="922"/>
        <w:gridCol w:w="763"/>
      </w:tblGrid>
      <w:tr w:rsidR="004132A6" w:rsidRPr="002D0085" w:rsidTr="00501E24">
        <w:tc>
          <w:tcPr>
            <w:tcW w:w="43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9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47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32A6" w:rsidRPr="002D0085" w:rsidRDefault="004132A6" w:rsidP="00501E24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32A6" w:rsidRPr="002D0085" w:rsidRDefault="004132A6" w:rsidP="00501E24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影響程度之敘述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48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風險值</w:t>
            </w:r>
          </w:p>
        </w:tc>
      </w:tr>
      <w:tr w:rsidR="004132A6" w:rsidRPr="002D0085" w:rsidTr="00501E24">
        <w:trPr>
          <w:trHeight w:val="210"/>
        </w:trPr>
        <w:tc>
          <w:tcPr>
            <w:tcW w:w="435" w:type="pct"/>
            <w:vMerge w:val="restart"/>
            <w:tcBorders>
              <w:top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總務處</w:t>
            </w:r>
          </w:p>
        </w:tc>
        <w:tc>
          <w:tcPr>
            <w:tcW w:w="296" w:type="pct"/>
            <w:tcBorders>
              <w:top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474" w:type="pct"/>
            <w:tcBorders>
              <w:top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1130-001-1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採購管理作業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萬元（含）以上</w:t>
            </w:r>
          </w:p>
        </w:tc>
        <w:tc>
          <w:tcPr>
            <w:tcW w:w="960" w:type="pct"/>
            <w:tcBorders>
              <w:top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68" w:type="pct"/>
            <w:tcBorders>
              <w:top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1130-001-2</w:t>
            </w:r>
            <w:r w:rsidRPr="002D0085">
              <w:rPr>
                <w:rFonts w:ascii="標楷體" w:eastAsia="標楷體" w:hAnsi="標楷體" w:hint="eastAsia"/>
              </w:rPr>
              <w:t>採購管理作業6萬元（含）以上至1</w:t>
            </w:r>
            <w:r w:rsidRPr="002D0085">
              <w:rPr>
                <w:rFonts w:ascii="標楷體" w:eastAsia="標楷體" w:hAnsi="標楷體"/>
              </w:rPr>
              <w:t>5</w:t>
            </w:r>
            <w:r w:rsidRPr="002D0085">
              <w:rPr>
                <w:rFonts w:ascii="標楷體" w:eastAsia="標楷體" w:hAnsi="標楷體" w:hint="eastAsia"/>
              </w:rPr>
              <w:t>萬元以下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財物損失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新臺幣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1-3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1130-001-3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採購管理作業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萬元（含）以上至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萬元以下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教職員宿舍申請分配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1130-003-1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校車管理作業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校車支援申請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1130-003-2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校車管理作業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校車事故、異常管理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1130-004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勤務支援作業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5-1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1130-005-1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財物管理作業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財產新增作業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財物損失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新臺幣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5-2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1130-005-2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財物管理作業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財產驗收作業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財物損失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新臺幣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5-3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1130-005-3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財物管理作業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-C.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財產移轉作業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財物損失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新臺幣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5-4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1130-005-4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財物管理作業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-D.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物品借用作業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財物損失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新臺幣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5-5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1130-005-5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財物管理作業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-E.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財產盤點作業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財物損失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新臺幣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5-6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1130-005-6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財物管理作業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-F.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財產報廢作業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財物損失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新臺幣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1130-006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場地管理作業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1130-007-1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收文管理作業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紙本收文管理作業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1130-007-2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收文管理作業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電子收文管理作業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1130-008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發文管理作業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1130-009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公文調閱作業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1130-011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收款作業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1130-012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付款作業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590" w:type="pct"/>
            <w:tcBorders>
              <w:bottom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13-1</w:t>
            </w:r>
          </w:p>
        </w:tc>
        <w:tc>
          <w:tcPr>
            <w:tcW w:w="1474" w:type="pct"/>
            <w:tcBorders>
              <w:bottom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1130-013-1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設備維護保養作業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一般設備</w:t>
            </w:r>
          </w:p>
        </w:tc>
        <w:tc>
          <w:tcPr>
            <w:tcW w:w="960" w:type="pct"/>
            <w:tcBorders>
              <w:bottom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68" w:type="pct"/>
            <w:tcBorders>
              <w:bottom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0" w:type="pct"/>
            <w:tcBorders>
              <w:bottom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bottom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5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13-2</w:t>
            </w:r>
          </w:p>
        </w:tc>
        <w:tc>
          <w:tcPr>
            <w:tcW w:w="14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1130-013-2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設備維護保養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lastRenderedPageBreak/>
              <w:t>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大型機電設備</w:t>
            </w:r>
          </w:p>
        </w:tc>
        <w:tc>
          <w:tcPr>
            <w:tcW w:w="96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32A6" w:rsidRPr="002D0085" w:rsidRDefault="004132A6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lastRenderedPageBreak/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590" w:type="pct"/>
            <w:tcBorders>
              <w:top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474" w:type="pct"/>
            <w:tcBorders>
              <w:top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1130-014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修繕作業</w:t>
            </w:r>
          </w:p>
        </w:tc>
        <w:tc>
          <w:tcPr>
            <w:tcW w:w="960" w:type="pct"/>
            <w:tcBorders>
              <w:top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97" w:type="pct"/>
            <w:tcBorders>
              <w:top w:val="single" w:sz="6" w:space="0" w:color="auto"/>
            </w:tcBorders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1130-015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教師研究室分配暨管理作業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1130-016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空間規劃暨分配委員會作業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1130-017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場地外包經營管理作業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公文管考作業" w:history="1">
              <w:r w:rsidRPr="002D0085">
                <w:rPr>
                  <w:rFonts w:ascii="Times New Roman" w:eastAsia="標楷體" w:hAnsi="Times New Roman" w:cs="Times New Roman"/>
                  <w:szCs w:val="24"/>
                </w:rPr>
                <w:t>1130-018</w:t>
              </w:r>
              <w:r w:rsidRPr="002D0085">
                <w:rPr>
                  <w:rFonts w:ascii="Times New Roman" w:eastAsia="標楷體" w:hAnsi="Times New Roman" w:cs="Times New Roman"/>
                  <w:szCs w:val="24"/>
                </w:rPr>
                <w:t>公文管考作業</w:t>
              </w:r>
            </w:hyperlink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1130-019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校園邊坡安全穩定監測及巡檢修護作業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財物損失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新臺幣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萬元以上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4132A6" w:rsidRPr="002D0085" w:rsidTr="00501E24">
        <w:trPr>
          <w:trHeight w:val="180"/>
        </w:trPr>
        <w:tc>
          <w:tcPr>
            <w:tcW w:w="435" w:type="pct"/>
            <w:vMerge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590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474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1130-020</w:t>
            </w:r>
            <w:r w:rsidRPr="002D0085">
              <w:rPr>
                <w:rFonts w:ascii="標楷體" w:eastAsia="標楷體" w:hAnsi="標楷體" w:hint="eastAsia"/>
              </w:rPr>
              <w:t>不動產之處分、設定負擔、購置或出租。及動產購置作業</w:t>
            </w:r>
          </w:p>
        </w:tc>
        <w:tc>
          <w:tcPr>
            <w:tcW w:w="96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上級機關處分、會計師查核報告書</w:t>
            </w:r>
          </w:p>
        </w:tc>
        <w:tc>
          <w:tcPr>
            <w:tcW w:w="368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:rsidR="004132A6" w:rsidRPr="002D0085" w:rsidRDefault="004132A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4132A6" w:rsidRPr="002D0085" w:rsidRDefault="004132A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</w:tbl>
    <w:p w:rsidR="004132A6" w:rsidRPr="002D0085" w:rsidRDefault="004132A6" w:rsidP="004132A6">
      <w:pPr>
        <w:spacing w:line="240" w:lineRule="exact"/>
        <w:ind w:left="839" w:hanging="839"/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總務處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總務處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4132A6" w:rsidRPr="002D0085" w:rsidRDefault="004132A6" w:rsidP="004132A6">
      <w:pPr>
        <w:spacing w:line="240" w:lineRule="exact"/>
        <w:ind w:left="839" w:hanging="839"/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4132A6" w:rsidRPr="002D0085" w:rsidRDefault="004132A6" w:rsidP="004132A6">
      <w:pPr>
        <w:pStyle w:val="31"/>
        <w:jc w:val="center"/>
        <w:rPr>
          <w:rFonts w:ascii="Times New Roman" w:hAnsi="Times New Roman" w:cs="Times New Roman"/>
          <w:sz w:val="36"/>
          <w:szCs w:val="36"/>
        </w:rPr>
      </w:pPr>
      <w:bookmarkStart w:id="8" w:name="_Toc92798120"/>
      <w:bookmarkStart w:id="9" w:name="_Toc99130131"/>
      <w:r w:rsidRPr="002D0085">
        <w:rPr>
          <w:rFonts w:ascii="Times New Roman" w:hAnsi="Times New Roman" w:cs="Times New Roman"/>
          <w:sz w:val="36"/>
          <w:szCs w:val="36"/>
        </w:rPr>
        <w:br w:type="page"/>
      </w:r>
    </w:p>
    <w:p w:rsidR="004132A6" w:rsidRPr="002D0085" w:rsidRDefault="004132A6" w:rsidP="004132A6">
      <w:pPr>
        <w:pStyle w:val="31"/>
        <w:jc w:val="center"/>
        <w:rPr>
          <w:rFonts w:ascii="Times New Roman" w:hAnsi="Times New Roman" w:cs="Times New Roman"/>
        </w:rPr>
      </w:pPr>
      <w:bookmarkStart w:id="10" w:name="_Toc146031015"/>
      <w:bookmarkStart w:id="11" w:name="_Toc217383924"/>
      <w:r w:rsidRPr="002D0085">
        <w:rPr>
          <w:rFonts w:ascii="Times New Roman" w:hAnsi="Times New Roman" w:cs="Times New Roman"/>
          <w:sz w:val="36"/>
          <w:szCs w:val="36"/>
        </w:rPr>
        <w:lastRenderedPageBreak/>
        <w:t>佛光大學</w:t>
      </w:r>
      <w:r w:rsidRPr="002D0085">
        <w:rPr>
          <w:rFonts w:ascii="Times New Roman" w:hAnsi="Times New Roman" w:cs="Times New Roman"/>
          <w:sz w:val="36"/>
          <w:szCs w:val="36"/>
        </w:rPr>
        <w:t xml:space="preserve"> </w:t>
      </w:r>
      <w:r w:rsidRPr="002D0085">
        <w:rPr>
          <w:rFonts w:ascii="Times New Roman" w:hAnsi="Times New Roman" w:cs="Times New Roman"/>
          <w:sz w:val="36"/>
          <w:szCs w:val="36"/>
        </w:rPr>
        <w:t>總務處</w:t>
      </w:r>
      <w:r w:rsidRPr="002D0085">
        <w:rPr>
          <w:rFonts w:ascii="Times New Roman" w:hAnsi="Times New Roman" w:cs="Times New Roman"/>
          <w:sz w:val="36"/>
          <w:szCs w:val="36"/>
        </w:rPr>
        <w:t xml:space="preserve"> </w:t>
      </w:r>
      <w:r w:rsidRPr="002D0085">
        <w:rPr>
          <w:rFonts w:ascii="Times New Roman" w:hAnsi="Times New Roman" w:cs="Times New Roman"/>
          <w:sz w:val="36"/>
          <w:szCs w:val="36"/>
        </w:rPr>
        <w:t>風險圖像</w:t>
      </w:r>
      <w:bookmarkEnd w:id="8"/>
      <w:bookmarkEnd w:id="9"/>
      <w:bookmarkEnd w:id="10"/>
      <w:bookmarkEnd w:id="11"/>
    </w:p>
    <w:p w:rsidR="004132A6" w:rsidRPr="002D0085" w:rsidRDefault="004132A6" w:rsidP="004132A6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2"/>
        <w:gridCol w:w="2686"/>
        <w:gridCol w:w="2417"/>
        <w:gridCol w:w="2553"/>
      </w:tblGrid>
      <w:tr w:rsidR="004132A6" w:rsidRPr="002D0085" w:rsidTr="00501E24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4132A6" w:rsidRPr="002D0085" w:rsidRDefault="004132A6" w:rsidP="00501E24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4132A6" w:rsidRPr="002D0085" w:rsidRDefault="004132A6" w:rsidP="00501E24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風險值（風險分布）</w:t>
            </w:r>
          </w:p>
        </w:tc>
      </w:tr>
      <w:tr w:rsidR="004132A6" w:rsidRPr="002D0085" w:rsidTr="00501E24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4132A6" w:rsidRPr="002D0085" w:rsidRDefault="004132A6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非常嚴重（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4132A6" w:rsidRPr="002D0085" w:rsidRDefault="004132A6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4132A6" w:rsidRPr="002D0085" w:rsidRDefault="004132A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4132A6" w:rsidRPr="002D0085" w:rsidRDefault="004132A6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4132A6" w:rsidRPr="002D0085" w:rsidRDefault="004132A6" w:rsidP="00501E24">
            <w:pPr>
              <w:jc w:val="center"/>
              <w:rPr>
                <w:rFonts w:ascii="Times New Roman" w:eastAsia="標楷體" w:hAnsi="Times New Roman" w:cs="Times New Roman"/>
                <w:i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132A6" w:rsidRPr="002D0085" w:rsidRDefault="004132A6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:rsidR="004132A6" w:rsidRPr="002D0085" w:rsidRDefault="004132A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4132A6" w:rsidRPr="002D0085" w:rsidTr="00501E24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4132A6" w:rsidRPr="002D0085" w:rsidRDefault="004132A6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嚴重（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4132A6" w:rsidRPr="002D0085" w:rsidRDefault="004132A6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4132A6" w:rsidRPr="002D0085" w:rsidRDefault="004132A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4132A6" w:rsidRPr="002D0085" w:rsidRDefault="004132A6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:rsidR="004132A6" w:rsidRPr="002D0085" w:rsidRDefault="004132A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132A6" w:rsidRPr="002D0085" w:rsidRDefault="004132A6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4132A6" w:rsidRPr="002D0085" w:rsidRDefault="004132A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4132A6" w:rsidRPr="002D0085" w:rsidTr="00501E24">
        <w:trPr>
          <w:trHeight w:val="659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4132A6" w:rsidRPr="002D0085" w:rsidRDefault="004132A6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輕微（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4132A6" w:rsidRPr="002D0085" w:rsidRDefault="004132A6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4132A6" w:rsidRPr="002D0085" w:rsidRDefault="004132A6" w:rsidP="00501E24">
            <w:pPr>
              <w:jc w:val="center"/>
              <w:rPr>
                <w:rFonts w:ascii="Times New Roman" w:eastAsia="標楷體" w:hAnsi="Times New Roman" w:cs="Times New Roman"/>
                <w:i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5-4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5-5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5-6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4132A6" w:rsidRPr="002D0085" w:rsidRDefault="004132A6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4132A6" w:rsidRPr="002D0085" w:rsidRDefault="004132A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132A6" w:rsidRPr="002D0085" w:rsidRDefault="004132A6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4132A6" w:rsidRPr="002D0085" w:rsidRDefault="004132A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4132A6" w:rsidRPr="002D0085" w:rsidTr="00501E24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132A6" w:rsidRPr="002D0085" w:rsidRDefault="004132A6" w:rsidP="00501E24">
            <w:pPr>
              <w:ind w:left="7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4132A6" w:rsidRPr="002D0085" w:rsidRDefault="004132A6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幾乎不可能（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4132A6" w:rsidRPr="002D0085" w:rsidRDefault="004132A6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可能（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132A6" w:rsidRPr="002D0085" w:rsidRDefault="004132A6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幾乎確定（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4132A6" w:rsidRPr="002D0085" w:rsidTr="00501E24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132A6" w:rsidRPr="002D0085" w:rsidRDefault="004132A6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4132A6" w:rsidRPr="002D0085" w:rsidRDefault="004132A6" w:rsidP="00501E24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</w:tr>
    </w:tbl>
    <w:p w:rsidR="004132A6" w:rsidRPr="002D0085" w:rsidRDefault="004132A6" w:rsidP="004132A6">
      <w:pPr>
        <w:spacing w:line="240" w:lineRule="exact"/>
        <w:ind w:left="839" w:hanging="839"/>
        <w:jc w:val="right"/>
        <w:rPr>
          <w:rFonts w:ascii="Times New Roman" w:eastAsia="標楷體" w:hAnsi="Times New Roman" w:cs="Times New Roman"/>
          <w:b/>
          <w:sz w:val="28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總務處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總務處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4132A6" w:rsidRPr="002D0085" w:rsidRDefault="004132A6" w:rsidP="004132A6">
      <w:pPr>
        <w:rPr>
          <w:rFonts w:ascii="Times New Roman" w:eastAsia="標楷體" w:hAnsi="Times New Roman" w:cs="Times New Roman"/>
          <w:sz w:val="26"/>
          <w:szCs w:val="26"/>
        </w:rPr>
      </w:pPr>
    </w:p>
    <w:p w:rsidR="004132A6" w:rsidRPr="002D0085" w:rsidRDefault="004132A6" w:rsidP="004132A6">
      <w:pPr>
        <w:rPr>
          <w:rFonts w:ascii="Times New Roman" w:eastAsia="標楷體" w:hAnsi="Times New Roman" w:cs="Times New Roman"/>
          <w:sz w:val="28"/>
          <w:szCs w:val="28"/>
        </w:rPr>
      </w:pPr>
      <w:r w:rsidRPr="002D0085">
        <w:rPr>
          <w:rFonts w:ascii="Times New Roman" w:eastAsia="標楷體" w:hAnsi="Times New Roman" w:cs="Times New Roman"/>
          <w:sz w:val="28"/>
          <w:szCs w:val="28"/>
        </w:rPr>
        <w:t>總務處現有內控項目經風險分析後，屬風險等級高者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1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項，風險等級中者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13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項，風險等級低者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15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項。</w:t>
      </w:r>
    </w:p>
    <w:p w:rsidR="005B1C84" w:rsidRPr="004132A6" w:rsidRDefault="005B1C84">
      <w:bookmarkStart w:id="12" w:name="_GoBack"/>
      <w:bookmarkEnd w:id="12"/>
    </w:p>
    <w:sectPr w:rsidR="005B1C84" w:rsidRPr="004132A6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A6"/>
    <w:rsid w:val="003D2A0D"/>
    <w:rsid w:val="004132A6"/>
    <w:rsid w:val="005B1C84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AA74F-B65F-4C27-A6AC-0AA68956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2A6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2A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2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2A6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4132A6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4132A6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31">
    <w:name w:val="標題3"/>
    <w:basedOn w:val="3"/>
    <w:next w:val="3"/>
    <w:link w:val="32"/>
    <w:qFormat/>
    <w:rsid w:val="004132A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132A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4132A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4132A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2025-12-23T08:03:00Z</dcterms:created>
  <dcterms:modified xsi:type="dcterms:W3CDTF">2025-12-23T08:03:00Z</dcterms:modified>
</cp:coreProperties>
</file>