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5FB5" w:rsidRDefault="00285FB5" w:rsidP="00285FB5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cs="Times New Roman" w:hint="eastAsia"/>
          <w:sz w:val="36"/>
          <w:szCs w:val="36"/>
        </w:rPr>
        <w:t>佛光大學內部控制文件制訂/修訂說明表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60"/>
        <w:gridCol w:w="4871"/>
        <w:gridCol w:w="1090"/>
        <w:gridCol w:w="1090"/>
        <w:gridCol w:w="1297"/>
      </w:tblGrid>
      <w:tr w:rsidR="00285FB5" w:rsidTr="00501E24">
        <w:trPr>
          <w:jc w:val="center"/>
        </w:trPr>
        <w:tc>
          <w:tcPr>
            <w:tcW w:w="65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ind w:rightChars="-26" w:right="-62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3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5FB5" w:rsidRDefault="00285FB5" w:rsidP="00501E24">
            <w:pPr>
              <w:pStyle w:val="31"/>
              <w:rPr>
                <w:rFonts w:cs="Times New Roman"/>
              </w:rPr>
            </w:pPr>
            <w:bookmarkStart w:id="0" w:name="_Toc127541928"/>
            <w:bookmarkStart w:id="1" w:name="_Toc217383846"/>
            <w:r>
              <w:rPr>
                <w:rFonts w:hint="eastAsia"/>
              </w:rPr>
              <w:t>1110-003-1</w:t>
            </w:r>
            <w:bookmarkStart w:id="2" w:name="受教權查核作業"/>
            <w:r>
              <w:rPr>
                <w:rFonts w:hint="eastAsia"/>
              </w:rPr>
              <w:t>受教權</w:t>
            </w:r>
            <w:r>
              <w:rPr>
                <w:rFonts w:cs="Times New Roman" w:hint="eastAsia"/>
              </w:rPr>
              <w:t>查核作業</w:t>
            </w:r>
            <w:bookmarkEnd w:id="0"/>
            <w:bookmarkEnd w:id="1"/>
            <w:bookmarkEnd w:id="2"/>
          </w:p>
        </w:tc>
        <w:tc>
          <w:tcPr>
            <w:tcW w:w="56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4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教務處</w:t>
            </w:r>
          </w:p>
        </w:tc>
      </w:tr>
      <w:tr w:rsidR="00285FB5" w:rsidTr="00501E24">
        <w:trPr>
          <w:jc w:val="center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文件制訂/修訂內容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ind w:rightChars="-45" w:right="-108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制/修訂日期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秘書室確認欄</w:t>
            </w:r>
          </w:p>
        </w:tc>
      </w:tr>
      <w:tr w:rsidR="00285FB5" w:rsidTr="00501E24">
        <w:trPr>
          <w:trHeight w:val="800"/>
          <w:jc w:val="center"/>
        </w:trPr>
        <w:tc>
          <w:tcPr>
            <w:tcW w:w="65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1</w:t>
            </w:r>
          </w:p>
        </w:tc>
        <w:tc>
          <w:tcPr>
            <w:tcW w:w="25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5FB5" w:rsidRDefault="00285FB5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285FB5" w:rsidRDefault="00285FB5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新訂</w:t>
            </w:r>
          </w:p>
          <w:p w:rsidR="00285FB5" w:rsidRDefault="00285FB5" w:rsidP="00501E24">
            <w:pPr>
              <w:spacing w:line="0" w:lineRule="atLeas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>
              <w:rPr>
                <w:rFonts w:ascii="標楷體" w:eastAsia="標楷體" w:hAnsi="標楷體" w:cs="Times New Roman" w:hint="eastAsia"/>
                <w:spacing w:val="-6"/>
                <w:szCs w:val="24"/>
              </w:rPr>
              <w:t>114.9月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>
              <w:rPr>
                <w:rFonts w:ascii="標楷體" w:eastAsia="標楷體" w:hAnsi="標楷體" w:cs="Times New Roman" w:hint="eastAsia"/>
                <w:spacing w:val="-6"/>
                <w:szCs w:val="24"/>
              </w:rPr>
              <w:t>林佩璇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5FB5" w:rsidRPr="002D0085" w:rsidRDefault="00285FB5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285FB5" w:rsidRPr="002D0085" w:rsidRDefault="00285FB5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spacing w:val="-6"/>
                <w:szCs w:val="24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285FB5" w:rsidRPr="002D0085" w:rsidRDefault="00285FB5" w:rsidP="00285FB5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E86FE7" wp14:editId="4A19AFDC">
                <wp:simplePos x="0" y="0"/>
                <wp:positionH relativeFrom="column">
                  <wp:posOffset>4167505</wp:posOffset>
                </wp:positionH>
                <wp:positionV relativeFrom="page">
                  <wp:posOffset>9767570</wp:posOffset>
                </wp:positionV>
                <wp:extent cx="2057400" cy="571500"/>
                <wp:effectExtent l="0" t="0" r="0" b="0"/>
                <wp:wrapNone/>
                <wp:docPr id="92" name="文字方塊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lc="http://schemas.openxmlformats.org/drawingml/2006/lockedCanvas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5FB5" w:rsidRPr="00240E7E" w:rsidRDefault="00285FB5" w:rsidP="00285FB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40E7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240E7E">
                              <w:rPr>
                                <w:rFonts w:ascii="標楷體" w:eastAsia="標楷體" w:hAnsi="標楷體" w:hint="eastAsia"/>
                                <w:kern w:val="0"/>
                                <w:sz w:val="16"/>
                                <w:szCs w:val="16"/>
                              </w:rPr>
                              <w:t>114.12.17</w:t>
                            </w:r>
                          </w:p>
                          <w:p w:rsidR="00285FB5" w:rsidRPr="00240E7E" w:rsidRDefault="00285FB5" w:rsidP="00285FB5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240E7E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E86FE7" id="_x0000_t202" coordsize="21600,21600" o:spt="202" path="m,l,21600r21600,l21600,xe">
                <v:stroke joinstyle="miter"/>
                <v:path gradientshapeok="t" o:connecttype="rect"/>
              </v:shapetype>
              <v:shape id="文字方塊 92" o:spid="_x0000_s1026" type="#_x0000_t202" style="position:absolute;left:0;text-align:left;margin-left:328.15pt;margin-top:769.1pt;width:162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" filled="f" stroked="f">
                <v:textbox>
                  <w:txbxContent>
                    <w:p w:rsidR="00285FB5" w:rsidRPr="00240E7E" w:rsidRDefault="00285FB5" w:rsidP="00285FB5">
                      <w:pPr>
                        <w:spacing w:line="300" w:lineRule="exact"/>
                        <w:rPr>
                          <w:rFonts w:ascii="標楷體" w:eastAsia="標楷體" w:hAnsi="標楷體"/>
                          <w:kern w:val="0"/>
                          <w:sz w:val="16"/>
                          <w:szCs w:val="16"/>
                        </w:rPr>
                      </w:pPr>
                      <w:r w:rsidRPr="00240E7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240E7E">
                        <w:rPr>
                          <w:rFonts w:ascii="標楷體" w:eastAsia="標楷體" w:hAnsi="標楷體" w:hint="eastAsia"/>
                          <w:kern w:val="0"/>
                          <w:sz w:val="16"/>
                          <w:szCs w:val="16"/>
                        </w:rPr>
                        <w:t>114.12.17</w:t>
                      </w:r>
                    </w:p>
                    <w:p w:rsidR="00285FB5" w:rsidRPr="00240E7E" w:rsidRDefault="00285FB5" w:rsidP="00285FB5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240E7E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85FB5" w:rsidRDefault="00285FB5" w:rsidP="00285FB5">
      <w:pPr>
        <w:jc w:val="right"/>
        <w:rPr>
          <w:rStyle w:val="a3"/>
          <w:sz w:val="16"/>
          <w:szCs w:val="16"/>
        </w:rPr>
      </w:pPr>
    </w:p>
    <w:p w:rsidR="00285FB5" w:rsidRDefault="00285FB5" w:rsidP="00285FB5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kern w:val="0"/>
          <w:szCs w:val="24"/>
        </w:rPr>
        <w:br w:type="page"/>
      </w:r>
      <w:bookmarkStart w:id="3" w:name="_GoBack"/>
      <w:bookmarkEnd w:id="3"/>
    </w:p>
    <w:p w:rsidR="00285FB5" w:rsidRDefault="00285FB5" w:rsidP="00285FB5">
      <w:pPr>
        <w:jc w:val="right"/>
        <w:rPr>
          <w:rFonts w:ascii="標楷體" w:eastAsia="標楷體" w:hAnsi="標楷體" w:cs="Times New Roman"/>
          <w:szCs w:val="24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1545"/>
        <w:gridCol w:w="1393"/>
        <w:gridCol w:w="1268"/>
        <w:gridCol w:w="1166"/>
      </w:tblGrid>
      <w:tr w:rsidR="00285FB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5FB5" w:rsidRDefault="00285FB5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285FB5" w:rsidTr="00501E24">
        <w:trPr>
          <w:jc w:val="center"/>
        </w:trPr>
        <w:tc>
          <w:tcPr>
            <w:tcW w:w="225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285FB5" w:rsidTr="00501E24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受教權查核作業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1110-003-1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第1頁/</w:t>
            </w:r>
          </w:p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285FB5" w:rsidRPr="002D0085" w:rsidRDefault="00285FB5" w:rsidP="00285FB5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85FB5" w:rsidRDefault="00285FB5" w:rsidP="00285F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285FB5" w:rsidRDefault="00285FB5" w:rsidP="00285FB5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  <w:r>
        <w:object w:dxaOrig="9795" w:dyaOrig="1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0.5pt;height:558.75pt" o:ole="">
            <v:imagedata r:id="rId4" o:title=""/>
          </v:shape>
          <o:OLEObject Type="Embed" ProgID="Visio.Drawing.15" ShapeID="_x0000_i1025" DrawAspect="Content" ObjectID="_1828010573" r:id="rId5"/>
        </w:object>
      </w:r>
    </w:p>
    <w:p w:rsidR="00285FB5" w:rsidRDefault="00285FB5" w:rsidP="00285FB5">
      <w:pPr>
        <w:autoSpaceDE w:val="0"/>
        <w:autoSpaceDN w:val="0"/>
        <w:adjustRightInd w:val="0"/>
        <w:ind w:leftChars="-59" w:left="-142"/>
        <w:textAlignment w:val="baseline"/>
        <w:rPr>
          <w:rFonts w:ascii="標楷體" w:eastAsia="標楷體" w:hAnsi="標楷體"/>
        </w:rPr>
      </w:pP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1541"/>
        <w:gridCol w:w="1391"/>
        <w:gridCol w:w="1266"/>
        <w:gridCol w:w="1170"/>
      </w:tblGrid>
      <w:tr w:rsidR="00285FB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5FB5" w:rsidRDefault="00285FB5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br w:type="page"/>
            </w: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佛光大學內部控制文件</w:t>
            </w:r>
          </w:p>
        </w:tc>
      </w:tr>
      <w:tr w:rsidR="00285FB5" w:rsidTr="00501E24">
        <w:trPr>
          <w:jc w:val="center"/>
        </w:trPr>
        <w:tc>
          <w:tcPr>
            <w:tcW w:w="2252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285FB5" w:rsidTr="00501E24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受教權查核作業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1110-003-1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第2頁/</w:t>
            </w:r>
          </w:p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285FB5" w:rsidRPr="002D0085" w:rsidRDefault="00285FB5" w:rsidP="00285FB5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85FB5" w:rsidRDefault="00285FB5" w:rsidP="00285F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285FB5" w:rsidRDefault="00285FB5" w:rsidP="00285FB5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2.1.為保障學生受教權益，本校定期檢核各教學單位（含通識中心）實際開課情形，作業流程如下：</w:t>
      </w:r>
    </w:p>
    <w:p w:rsidR="00285FB5" w:rsidRDefault="00285FB5" w:rsidP="00285FB5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2.1.1.各教學單位應先召開課程委員會議，確認預定開設之課程。</w:t>
      </w:r>
    </w:p>
    <w:p w:rsidR="00285FB5" w:rsidRDefault="00285FB5" w:rsidP="00285FB5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2.1.2.如各教學單位預定安排為無固定時段課程，應送至校課程委員會議程序通過後辦理。</w:t>
      </w:r>
    </w:p>
    <w:p w:rsidR="00285FB5" w:rsidRDefault="00285FB5" w:rsidP="00285FB5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2.1.3.教務處將依據教學單位排課結果、授課教師專長進行審查，確認課程是否符合相符。</w:t>
      </w:r>
    </w:p>
    <w:p w:rsidR="00285FB5" w:rsidRDefault="00285FB5" w:rsidP="00285FB5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2.2.排課審查重點如下。</w:t>
      </w:r>
    </w:p>
    <w:p w:rsidR="00285FB5" w:rsidRDefault="00285FB5" w:rsidP="00285FB5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2.2.1.日間部課程應安排於週一至週五白天。如課程安排於平日夜間或假日，經評估有其必要性及合理性者，應經校課程委員會議程序通過後辦理。</w:t>
      </w:r>
    </w:p>
    <w:p w:rsidR="00285FB5" w:rsidRDefault="00285FB5" w:rsidP="00285FB5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2.1.2.必修課程開設無下列情形：(1)未依時序開課(2)未列於課程規劃表中(3)開設學分數與課程規劃表之學分數不同(4)開設為選修課程。</w:t>
      </w:r>
    </w:p>
    <w:p w:rsidR="00285FB5" w:rsidRDefault="00285FB5" w:rsidP="00285FB5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2.1.3.系專業選修課程開設無下列情形：(1)皆未開設(2)未符合系專業領域(3)開設低於學校自訂之應開學分數(4)開設學分數與課程規劃表之學分數不同。</w:t>
      </w:r>
    </w:p>
    <w:p w:rsidR="00285FB5" w:rsidRDefault="00285FB5" w:rsidP="00285FB5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2.1.4.無不當合併授課情形：(1)跨部、跨學制、跨系科（院課程不在此限）或跨年級合併授課(2)課程名稱或學分數不同合併授課(3)課程名稱或學分數相同，然專業領域不同之課程合併授課。</w:t>
      </w:r>
    </w:p>
    <w:p w:rsidR="00285FB5" w:rsidRDefault="00285FB5" w:rsidP="00285FB5">
      <w:pPr>
        <w:ind w:leftChars="300" w:left="1440" w:hangingChars="300" w:hanging="72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2.1.5.教師授課專長應與所開設課程內容相符。</w:t>
      </w:r>
    </w:p>
    <w:p w:rsidR="00285FB5" w:rsidRDefault="00285FB5" w:rsidP="00285F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3.控制重點：</w:t>
      </w:r>
    </w:p>
    <w:p w:rsidR="00285FB5" w:rsidRDefault="00285FB5" w:rsidP="00285FB5">
      <w:pPr>
        <w:ind w:leftChars="100" w:left="720" w:hangingChars="200" w:hanging="480"/>
        <w:rPr>
          <w:rFonts w:ascii="標楷體" w:eastAsia="標楷體" w:hAnsi="標楷體" w:cs="Times New Roman"/>
          <w:b/>
          <w:strike/>
          <w:szCs w:val="24"/>
          <w:shd w:val="pct15" w:color="auto" w:fill="FFFFFF"/>
        </w:rPr>
      </w:pPr>
      <w:r>
        <w:rPr>
          <w:rFonts w:ascii="標楷體" w:eastAsia="標楷體" w:hAnsi="標楷體" w:cs="Times New Roman" w:hint="eastAsia"/>
          <w:bCs/>
          <w:szCs w:val="24"/>
        </w:rPr>
        <w:t>3.1.</w:t>
      </w:r>
      <w:r>
        <w:rPr>
          <w:rFonts w:ascii="標楷體" w:eastAsia="標楷體" w:hAnsi="標楷體" w:cs="Times New Roman" w:hint="eastAsia"/>
          <w:szCs w:val="24"/>
        </w:rPr>
        <w:t>各教學單位於排課前，應優先完成授課教師專長審查，確認授課教師專長與課程內容相符，並經課程委員會審議通過。</w:t>
      </w:r>
      <w:r>
        <w:rPr>
          <w:rFonts w:ascii="標楷體" w:eastAsia="標楷體" w:hAnsi="標楷體" w:cs="Times New Roman" w:hint="eastAsia"/>
          <w:bCs/>
          <w:szCs w:val="24"/>
        </w:rPr>
        <w:t>。</w:t>
      </w:r>
    </w:p>
    <w:p w:rsidR="00285FB5" w:rsidRDefault="00285FB5" w:rsidP="00285FB5">
      <w:pPr>
        <w:ind w:leftChars="100" w:left="720" w:hangingChars="200" w:hanging="480"/>
        <w:rPr>
          <w:rFonts w:ascii="標楷體" w:eastAsia="標楷體" w:hAnsi="標楷體" w:cs="Times New Roman"/>
          <w:bCs/>
          <w:szCs w:val="24"/>
        </w:rPr>
      </w:pPr>
      <w:r>
        <w:rPr>
          <w:rFonts w:ascii="標楷體" w:eastAsia="標楷體" w:hAnsi="標楷體" w:cs="Times New Roman" w:hint="eastAsia"/>
          <w:bCs/>
          <w:szCs w:val="24"/>
        </w:rPr>
        <w:t>3.2.各教學單位排課時應依規定安排課程，是否符合開課時序、無應開而未開之課程、無不當合併授課之情形。</w:t>
      </w:r>
    </w:p>
    <w:p w:rsidR="00285FB5" w:rsidRDefault="00285FB5" w:rsidP="00285FB5">
      <w:pPr>
        <w:rPr>
          <w:rFonts w:ascii="標楷體" w:eastAsia="標楷體" w:hAnsi="標楷體" w:cs="Times New Roman"/>
          <w:bCs/>
          <w:szCs w:val="24"/>
        </w:rPr>
      </w:pPr>
    </w:p>
    <w:p w:rsidR="00285FB5" w:rsidRDefault="00285FB5" w:rsidP="00285F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285FB5" w:rsidRDefault="00285FB5" w:rsidP="00285FB5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4.1.課程規劃表。</w:t>
      </w:r>
    </w:p>
    <w:p w:rsidR="00285FB5" w:rsidRDefault="00285FB5" w:rsidP="00285FB5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4.2 教師授課專業符合度檢核表。</w:t>
      </w:r>
    </w:p>
    <w:p w:rsidR="00285FB5" w:rsidRPr="00B55DC5" w:rsidRDefault="00285FB5" w:rsidP="00285FB5">
      <w:pPr>
        <w:rPr>
          <w:rFonts w:ascii="標楷體" w:eastAsia="標楷體" w:hAnsi="標楷體" w:cs="Times New Roman"/>
          <w:bCs/>
          <w:szCs w:val="24"/>
        </w:rPr>
      </w:pPr>
    </w:p>
    <w:p w:rsidR="00285FB5" w:rsidRDefault="00285FB5" w:rsidP="00285FB5">
      <w:pPr>
        <w:rPr>
          <w:rFonts w:ascii="標楷體" w:eastAsia="標楷體" w:hAnsi="標楷體" w:cs="Times New Roman"/>
          <w:b/>
          <w:strike/>
          <w:szCs w:val="24"/>
          <w:shd w:val="pct15" w:color="auto" w:fill="FFFFFF"/>
        </w:rPr>
      </w:pPr>
      <w:r>
        <w:rPr>
          <w:rFonts w:ascii="標楷體" w:eastAsia="標楷體" w:hAnsi="標楷體" w:cs="Times New Roman" w:hint="eastAsia"/>
          <w:bCs/>
          <w:szCs w:val="24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0"/>
        <w:gridCol w:w="1672"/>
        <w:gridCol w:w="1272"/>
        <w:gridCol w:w="1270"/>
        <w:gridCol w:w="1002"/>
      </w:tblGrid>
      <w:tr w:rsidR="00285FB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5FB5" w:rsidRDefault="00285FB5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285FB5" w:rsidTr="00501E24">
        <w:trPr>
          <w:jc w:val="center"/>
        </w:trPr>
        <w:tc>
          <w:tcPr>
            <w:tcW w:w="2330" w:type="pct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文件名稱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制訂單位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版本/</w:t>
            </w:r>
          </w:p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制訂日期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頁數</w:t>
            </w:r>
          </w:p>
        </w:tc>
      </w:tr>
      <w:tr w:rsidR="00285FB5" w:rsidTr="00501E24">
        <w:trPr>
          <w:trHeight w:val="663"/>
          <w:jc w:val="center"/>
        </w:trPr>
        <w:tc>
          <w:tcPr>
            <w:tcW w:w="233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受教權查核作業</w:t>
            </w:r>
          </w:p>
        </w:tc>
        <w:tc>
          <w:tcPr>
            <w:tcW w:w="856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1110-003-1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01/</w:t>
            </w:r>
          </w:p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114.12.17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第3頁/</w:t>
            </w:r>
          </w:p>
          <w:p w:rsidR="00285FB5" w:rsidRDefault="00285FB5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共3頁</w:t>
            </w:r>
          </w:p>
        </w:tc>
      </w:tr>
    </w:tbl>
    <w:p w:rsidR="00285FB5" w:rsidRPr="002D0085" w:rsidRDefault="00285FB5" w:rsidP="00285FB5">
      <w:pPr>
        <w:jc w:val="right"/>
        <w:rPr>
          <w:rFonts w:ascii="標楷體" w:eastAsia="標楷體" w:hAnsi="標楷體"/>
          <w:sz w:val="16"/>
          <w:szCs w:val="16"/>
          <w:u w:val="single"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85FB5" w:rsidRDefault="00285FB5" w:rsidP="00285FB5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285FB5" w:rsidRDefault="00285FB5" w:rsidP="00285FB5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5.1.佛光大學</w:t>
      </w:r>
      <w:proofErr w:type="gramStart"/>
      <w:r>
        <w:rPr>
          <w:rFonts w:ascii="標楷體" w:eastAsia="標楷體" w:hAnsi="標楷體" w:cs="Times New Roman" w:hint="eastAsia"/>
          <w:szCs w:val="24"/>
        </w:rPr>
        <w:t>學</w:t>
      </w:r>
      <w:proofErr w:type="gramEnd"/>
      <w:r>
        <w:rPr>
          <w:rFonts w:ascii="標楷體" w:eastAsia="標楷體" w:hAnsi="標楷體" w:cs="Times New Roman" w:hint="eastAsia"/>
          <w:szCs w:val="24"/>
        </w:rPr>
        <w:t>則。</w:t>
      </w:r>
    </w:p>
    <w:p w:rsidR="00285FB5" w:rsidRDefault="00285FB5" w:rsidP="00285FB5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5.2.佛光大學開課暨排課辦法。</w:t>
      </w:r>
    </w:p>
    <w:p w:rsidR="00285FB5" w:rsidRDefault="00285FB5" w:rsidP="00285FB5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5.3.佛光大學課程委員會設置辦法。</w:t>
      </w:r>
    </w:p>
    <w:p w:rsidR="00285FB5" w:rsidRDefault="00285FB5" w:rsidP="00285FB5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5.4.佛光大學各級（校、院、系）課程委員會設置要點。</w:t>
      </w:r>
    </w:p>
    <w:p w:rsidR="00285FB5" w:rsidRDefault="00285FB5" w:rsidP="00285FB5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5.5.佛光大學通識教育委員會設置辦法。</w:t>
      </w:r>
    </w:p>
    <w:p w:rsidR="00285FB5" w:rsidRDefault="00285FB5" w:rsidP="00285FB5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5.6.佛光大學通識教育實施辦法。</w:t>
      </w:r>
    </w:p>
    <w:p w:rsidR="00285FB5" w:rsidRDefault="00285FB5" w:rsidP="00285FB5">
      <w:pPr>
        <w:ind w:leftChars="100" w:left="720" w:hangingChars="200" w:hanging="480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5.7.專科以上學校維護學生受教權益應行注意事項。</w:t>
      </w:r>
    </w:p>
    <w:p w:rsidR="00285FB5" w:rsidRPr="004A7A8C" w:rsidRDefault="00285FB5" w:rsidP="00285FB5">
      <w:pPr>
        <w:jc w:val="center"/>
        <w:rPr>
          <w:rFonts w:ascii="標楷體" w:eastAsia="標楷體" w:hAnsi="標楷體"/>
          <w:sz w:val="36"/>
          <w:szCs w:val="36"/>
        </w:rPr>
      </w:pPr>
    </w:p>
    <w:p w:rsidR="00285FB5" w:rsidRDefault="00285FB5" w:rsidP="00285FB5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br w:type="page"/>
      </w:r>
    </w:p>
    <w:sectPr w:rsidR="00285FB5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FB5"/>
    <w:rsid w:val="00285FB5"/>
    <w:rsid w:val="003D2A0D"/>
    <w:rsid w:val="005B1C84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7A13A-7D22-414D-8146-60334F0FE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5FB5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FB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85FB5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85FB5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85FB5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285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285FB5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285F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Visio_Drawing.vsd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2025-12-23T07:51:00Z</dcterms:created>
  <dcterms:modified xsi:type="dcterms:W3CDTF">2025-12-23T07:53:00Z</dcterms:modified>
</cp:coreProperties>
</file>