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5220" w:rsidRPr="0032366C" w:rsidRDefault="00175220" w:rsidP="00880E96">
      <w:pPr>
        <w:pStyle w:val="31"/>
        <w:jc w:val="center"/>
        <w:rPr>
          <w:rFonts w:ascii="Times New Roman" w:hAnsi="Times New Roman" w:cs="Times New Roman"/>
        </w:rPr>
      </w:pPr>
      <w:r w:rsidRPr="0032366C">
        <w:rPr>
          <w:rFonts w:ascii="Times New Roman" w:hAnsi="Times New Roman" w:cs="Times New Roman"/>
          <w:sz w:val="36"/>
        </w:rPr>
        <w:t>佛光大學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圖書暨資訊處</w:t>
      </w:r>
      <w:r w:rsidRPr="0032366C">
        <w:rPr>
          <w:rFonts w:ascii="Times New Roman" w:hAnsi="Times New Roman" w:cs="Times New Roman"/>
          <w:sz w:val="36"/>
        </w:rPr>
        <w:t xml:space="preserve"> </w:t>
      </w:r>
      <w:r w:rsidRPr="0032366C">
        <w:rPr>
          <w:rFonts w:ascii="Times New Roman" w:hAnsi="Times New Roman" w:cs="Times New Roman"/>
          <w:sz w:val="36"/>
        </w:rPr>
        <w:t>內控項目風險評估彙總表</w:t>
      </w:r>
    </w:p>
    <w:p w:rsidR="00175220" w:rsidRPr="0032366C" w:rsidRDefault="00175220" w:rsidP="00880E96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7"/>
        <w:gridCol w:w="458"/>
        <w:gridCol w:w="1068"/>
        <w:gridCol w:w="2978"/>
        <w:gridCol w:w="1987"/>
        <w:gridCol w:w="849"/>
        <w:gridCol w:w="709"/>
        <w:gridCol w:w="832"/>
      </w:tblGrid>
      <w:tr w:rsidR="00175220" w:rsidRPr="0032366C" w:rsidTr="00FD5960">
        <w:trPr>
          <w:tblHeader/>
        </w:trPr>
        <w:tc>
          <w:tcPr>
            <w:tcW w:w="37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單位名稱</w:t>
            </w: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序號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風險分</w:t>
            </w:r>
          </w:p>
          <w:p w:rsidR="00175220" w:rsidRPr="0032366C" w:rsidRDefault="00175220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布代號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Chars="-45" w:left="-108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內控項目編號及名稱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影響程度之敘述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影響程度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發生機率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風險值</w:t>
            </w:r>
          </w:p>
        </w:tc>
      </w:tr>
      <w:tr w:rsidR="00175220" w:rsidRPr="0032366C" w:rsidTr="00FD5960">
        <w:trPr>
          <w:trHeight w:val="210"/>
        </w:trPr>
        <w:tc>
          <w:tcPr>
            <w:tcW w:w="378" w:type="pct"/>
            <w:vMerge w:val="restar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proofErr w:type="gramStart"/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圖資處</w:t>
            </w:r>
            <w:proofErr w:type="gramEnd"/>
          </w:p>
        </w:tc>
        <w:tc>
          <w:tcPr>
            <w:tcW w:w="238" w:type="pct"/>
            <w:vMerge w:val="restar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556" w:type="pct"/>
            <w:vMerge w:val="restar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1550" w:type="pct"/>
            <w:vMerge w:val="restar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系統開發及程式修改作業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21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556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550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1180-002-1</w:t>
            </w:r>
            <w:r w:rsidRPr="00B7317D">
              <w:rPr>
                <w:rFonts w:ascii="Times New Roman" w:eastAsia="標楷體" w:hAnsi="Times New Roman" w:cs="Times New Roman"/>
                <w:szCs w:val="24"/>
              </w:rPr>
              <w:t>系統文件編製作業</w:t>
            </w:r>
            <w:r w:rsidRPr="00B7317D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B7317D">
              <w:rPr>
                <w:rFonts w:ascii="Times New Roman" w:eastAsia="標楷體" w:hAnsi="Times New Roman" w:cs="Times New Roman"/>
                <w:szCs w:val="24"/>
              </w:rPr>
              <w:t>系統文件製作與修改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2-2</w:t>
            </w:r>
          </w:p>
        </w:tc>
        <w:tc>
          <w:tcPr>
            <w:tcW w:w="1550" w:type="pct"/>
            <w:vAlign w:val="center"/>
            <w:hideMark/>
          </w:tcPr>
          <w:p w:rsidR="00175220" w:rsidRPr="005F3CA4" w:rsidRDefault="00175220" w:rsidP="00FD5960">
            <w:pPr>
              <w:spacing w:line="0" w:lineRule="atLeas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1180-002-2</w:t>
            </w:r>
            <w:r w:rsidRPr="005F3CA4">
              <w:rPr>
                <w:rFonts w:ascii="標楷體" w:eastAsia="標楷體" w:hAnsi="標楷體" w:hint="eastAsia"/>
              </w:rPr>
              <w:t>系統文件編製作業-B.系統文件管理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程式及資料之存取作業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資訊安全規範與存取控制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5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3-2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程式及資料之存取作業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使用者權限管理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3-3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1180-003-3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程式及資料之存取作業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-C.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程式及資料檔案存取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7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4-1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1180-004-1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資料輸出入及處理作業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資料輸入及處理作業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4-2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1180-004-2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資料輸出入及處理作業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資料輸出及處理作業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5-1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1180-005-1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檔案及設備之安全作業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實體安全及機房管理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10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5-2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1180-005-2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檔案及設備之安全作業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備份及備援管理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11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6-1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1180-006-1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硬體及系統軟體之使用與維護作業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硬體及系統軟體之採購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6-2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1180-006-2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硬體及系統軟體之使用與維護作業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硬體及系統軟體之維護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0" w:name="OLE_LINK36"/>
            <w:bookmarkStart w:id="1" w:name="OLE_LINK37"/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  <w:bookmarkEnd w:id="0"/>
            <w:bookmarkEnd w:id="1"/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13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6-3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1180-006-3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硬體及系統軟體之使用與維護作業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-C.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智慧財產權之管理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bookmarkStart w:id="2" w:name="OLE_LINK38"/>
            <w:bookmarkStart w:id="3" w:name="OLE_LINK39"/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  <w:bookmarkEnd w:id="2"/>
            <w:bookmarkEnd w:id="3"/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14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7-1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1180-007-1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系統復原計畫及測試作業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復原計畫及演練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7-2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1180-007-2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系統復原計畫及測試作業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重要電腦設施之故障復原及測試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16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8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資訊安全之檢查作業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9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1180-009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圖書資料徵集與採購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556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10-1</w:t>
            </w:r>
          </w:p>
        </w:tc>
        <w:tc>
          <w:tcPr>
            <w:tcW w:w="1550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1180-010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期刊採購與管理</w:t>
            </w:r>
          </w:p>
        </w:tc>
        <w:tc>
          <w:tcPr>
            <w:tcW w:w="1034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  <w:hideMark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19</w:t>
            </w:r>
          </w:p>
        </w:tc>
        <w:tc>
          <w:tcPr>
            <w:tcW w:w="556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圖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10-2</w:t>
            </w:r>
          </w:p>
        </w:tc>
        <w:tc>
          <w:tcPr>
            <w:tcW w:w="1550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1180-010-2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裝訂期刊作業</w:t>
            </w:r>
          </w:p>
        </w:tc>
        <w:tc>
          <w:tcPr>
            <w:tcW w:w="1034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申訴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/</w:t>
            </w: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620193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620193">
              <w:rPr>
                <w:rFonts w:ascii="Times New Roman" w:eastAsia="標楷體" w:hAnsi="Times New Roman" w:cs="Times New Roman"/>
                <w:color w:val="FF0000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20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11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圖書資料分類編目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21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資料交贈處理</w:t>
            </w:r>
            <w:proofErr w:type="gramEnd"/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22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13-1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1180-013-1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流通櫃台管理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圖書資料流通管理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23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13-2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1180-013-2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流通櫃台管理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讀者資料維護管理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權限生效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24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13-3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1180-013-3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流通櫃台管理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-C.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讀者資料維護管理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權限失效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b/>
                <w:kern w:val="0"/>
                <w:szCs w:val="24"/>
                <w:u w:val="single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25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14-2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1180-014-2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圖書資料典藏及書庫管理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圖書資料異常狀況處理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26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15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1180-015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圖書資料淘汰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27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16-1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1180-016-1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參考服務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參考</w:t>
            </w:r>
            <w:r w:rsidRPr="005F3CA4">
              <w:rPr>
                <w:rFonts w:ascii="標楷體" w:eastAsia="標楷體" w:hAnsi="標楷體" w:hint="eastAsia"/>
              </w:rPr>
              <w:t>諮</w:t>
            </w:r>
            <w:r w:rsidRPr="005F3CA4">
              <w:rPr>
                <w:rFonts w:ascii="標楷體" w:eastAsia="標楷體" w:hAnsi="標楷體" w:cs="Times New Roman"/>
                <w:szCs w:val="24"/>
              </w:rPr>
              <w:t>詢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服務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72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28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16-2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1180-016-2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參考服務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proofErr w:type="gramStart"/>
            <w:r w:rsidRPr="0032366C">
              <w:rPr>
                <w:rFonts w:ascii="Times New Roman" w:eastAsia="標楷體" w:hAnsi="Times New Roman" w:cs="Times New Roman"/>
                <w:szCs w:val="24"/>
              </w:rPr>
              <w:t>線上資料庫</w:t>
            </w:r>
            <w:proofErr w:type="gramEnd"/>
            <w:r w:rsidRPr="0032366C">
              <w:rPr>
                <w:rFonts w:ascii="Times New Roman" w:eastAsia="標楷體" w:hAnsi="Times New Roman" w:cs="Times New Roman"/>
                <w:szCs w:val="24"/>
              </w:rPr>
              <w:t>推廣活動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29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17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1180-017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線上資料庫之採購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30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18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1180-018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博碩士數位論文上傳繳交作業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31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19-1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1180-019-1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館際合作事項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-A.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對外申請件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申請人借書（含文獻複印）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32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19-2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1180-019-2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館際合作事項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-B.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對外申請件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申請人還書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33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19-3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1180-019-3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館際合作事項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-C.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外來申請件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申請人借書（含文獻複印）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34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19-4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1180-019-4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館際合作事項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-D.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外來申請件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申請人還書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  <w:hideMark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kern w:val="0"/>
                <w:szCs w:val="24"/>
              </w:rPr>
              <w:t>35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20-1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1180-020-1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系統委外開發流程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新系統招標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kern w:val="0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36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20-2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1180-020-2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系統委外開發流程</w:t>
            </w:r>
            <w:r>
              <w:rPr>
                <w:rFonts w:ascii="Times New Roman" w:eastAsia="標楷體" w:hAnsi="Times New Roman" w:cs="Times New Roman"/>
                <w:szCs w:val="24"/>
              </w:rPr>
              <w:t>-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現有系統功能擴增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37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21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1180-021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圖書館設備維護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法規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上級機關處分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</w:tc>
      </w:tr>
      <w:tr w:rsidR="00175220" w:rsidRPr="0032366C" w:rsidTr="00FD5960">
        <w:trPr>
          <w:trHeight w:val="180"/>
        </w:trPr>
        <w:tc>
          <w:tcPr>
            <w:tcW w:w="378" w:type="pct"/>
            <w:vMerge/>
            <w:vAlign w:val="center"/>
          </w:tcPr>
          <w:p w:rsidR="00175220" w:rsidRPr="0032366C" w:rsidRDefault="00175220" w:rsidP="00FD5960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kern w:val="0"/>
                <w:szCs w:val="24"/>
              </w:rPr>
            </w:pPr>
          </w:p>
        </w:tc>
        <w:tc>
          <w:tcPr>
            <w:tcW w:w="238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38</w:t>
            </w:r>
          </w:p>
        </w:tc>
        <w:tc>
          <w:tcPr>
            <w:tcW w:w="556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圖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22</w:t>
            </w:r>
          </w:p>
        </w:tc>
        <w:tc>
          <w:tcPr>
            <w:tcW w:w="1550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1180-022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圖書資料點收及上架</w:t>
            </w:r>
          </w:p>
        </w:tc>
        <w:tc>
          <w:tcPr>
            <w:tcW w:w="1034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申訴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/</w:t>
            </w:r>
            <w:r w:rsidRPr="0032366C">
              <w:rPr>
                <w:rFonts w:ascii="Times New Roman" w:eastAsia="標楷體" w:hAnsi="Times New Roman" w:cs="Times New Roman"/>
                <w:szCs w:val="24"/>
              </w:rPr>
              <w:t>抱怨</w:t>
            </w:r>
          </w:p>
        </w:tc>
        <w:tc>
          <w:tcPr>
            <w:tcW w:w="442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  <w:tc>
          <w:tcPr>
            <w:tcW w:w="369" w:type="pct"/>
            <w:vAlign w:val="center"/>
          </w:tcPr>
          <w:p w:rsidR="00175220" w:rsidRPr="0032366C" w:rsidRDefault="00175220" w:rsidP="00FD5960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</w:tc>
        <w:tc>
          <w:tcPr>
            <w:tcW w:w="433" w:type="pct"/>
            <w:vAlign w:val="center"/>
          </w:tcPr>
          <w:p w:rsidR="00175220" w:rsidRPr="0032366C" w:rsidRDefault="00175220" w:rsidP="00FD5960">
            <w:pPr>
              <w:spacing w:line="0" w:lineRule="atLeast"/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32366C"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</w:tc>
      </w:tr>
    </w:tbl>
    <w:p w:rsidR="00175220" w:rsidRPr="0032366C" w:rsidRDefault="00175220" w:rsidP="00880E96">
      <w:pPr>
        <w:ind w:right="80"/>
        <w:jc w:val="right"/>
        <w:rPr>
          <w:rFonts w:ascii="Times New Roman" w:eastAsia="標楷體" w:hAnsi="Times New Roman" w:cs="Times New Roman"/>
          <w:b/>
          <w:sz w:val="28"/>
          <w:szCs w:val="28"/>
          <w:u w:val="single"/>
        </w:rPr>
      </w:pPr>
      <w:r w:rsidRPr="0032366C">
        <w:rPr>
          <w:rFonts w:ascii="Times New Roman" w:eastAsia="標楷體" w:hAnsi="Times New Roman" w:cs="Times New Roman"/>
          <w:sz w:val="16"/>
          <w:szCs w:val="16"/>
        </w:rPr>
        <w:t>回</w:t>
      </w:r>
      <w:hyperlink w:anchor="圖書暨資訊處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圖書暨資訊處</w:t>
        </w:r>
      </w:hyperlink>
      <w:r w:rsidRPr="0032366C">
        <w:rPr>
          <w:rFonts w:ascii="Times New Roman" w:eastAsia="標楷體" w:hAnsi="Times New Roman" w:cs="Times New Roman"/>
          <w:sz w:val="16"/>
          <w:szCs w:val="16"/>
        </w:rPr>
        <w:t>、</w:t>
      </w:r>
      <w:hyperlink w:anchor="目錄" w:history="1">
        <w:r w:rsidRPr="0032366C">
          <w:rPr>
            <w:rStyle w:val="a3"/>
            <w:rFonts w:ascii="Times New Roman" w:eastAsia="標楷體" w:hAnsi="Times New Roman" w:cs="Times New Roman"/>
            <w:sz w:val="16"/>
            <w:szCs w:val="16"/>
          </w:rPr>
          <w:t>目錄</w:t>
        </w:r>
      </w:hyperlink>
    </w:p>
    <w:p w:rsidR="00175220" w:rsidRPr="0032366C" w:rsidRDefault="00175220" w:rsidP="00880E96">
      <w:pPr>
        <w:widowControl/>
        <w:rPr>
          <w:rFonts w:ascii="Times New Roman" w:eastAsia="標楷體" w:hAnsi="Times New Roman" w:cs="Times New Roman"/>
          <w:b/>
          <w:sz w:val="28"/>
          <w:szCs w:val="28"/>
        </w:rPr>
      </w:pPr>
      <w:r w:rsidRPr="0032366C">
        <w:rPr>
          <w:rFonts w:ascii="Times New Roman" w:eastAsia="標楷體" w:hAnsi="Times New Roman" w:cs="Times New Roman"/>
          <w:b/>
          <w:sz w:val="28"/>
          <w:szCs w:val="28"/>
        </w:rPr>
        <w:br w:type="page"/>
      </w:r>
    </w:p>
    <w:p w:rsidR="00175220" w:rsidRDefault="00175220" w:rsidP="0088113D">
      <w:pPr>
        <w:sectPr w:rsidR="00175220" w:rsidSect="0001362A">
          <w:type w:val="continuous"/>
          <w:pgSz w:w="11906" w:h="16838"/>
          <w:pgMar w:top="1134" w:right="1134" w:bottom="1134" w:left="1134" w:header="851" w:footer="851" w:gutter="0"/>
          <w:pgNumType w:start="1"/>
          <w:cols w:space="425"/>
          <w:docGrid w:type="lines" w:linePitch="360"/>
        </w:sectPr>
      </w:pPr>
    </w:p>
    <w:p w:rsidR="00116E4D" w:rsidRDefault="00116E4D" w:rsidP="00116E4D">
      <w:pPr>
        <w:pStyle w:val="3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  <w:sz w:val="36"/>
        </w:rPr>
        <w:lastRenderedPageBreak/>
        <w:t>佛光大學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圖書暨資訊處</w:t>
      </w:r>
      <w:r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 w:hint="eastAsia"/>
          <w:sz w:val="36"/>
        </w:rPr>
        <w:t>風險圖像</w:t>
      </w:r>
    </w:p>
    <w:p w:rsidR="00116E4D" w:rsidRDefault="00116E4D" w:rsidP="00116E4D">
      <w:pPr>
        <w:jc w:val="right"/>
        <w:rPr>
          <w:rFonts w:ascii="Times New Roman" w:eastAsia="標楷體" w:hAnsi="Times New Roman" w:cs="Times New Roman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9"/>
        <w:gridCol w:w="2315"/>
        <w:gridCol w:w="2082"/>
        <w:gridCol w:w="2200"/>
      </w:tblGrid>
      <w:tr w:rsidR="00116E4D" w:rsidTr="00116E4D">
        <w:trPr>
          <w:trHeight w:val="500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影響程度</w:t>
            </w: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風險值（風險分布）</w:t>
            </w:r>
          </w:p>
        </w:tc>
      </w:tr>
      <w:tr w:rsidR="00116E4D" w:rsidTr="00116E4D">
        <w:trPr>
          <w:trHeight w:val="721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非常嚴重（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（圖</w:t>
            </w:r>
            <w:r>
              <w:rPr>
                <w:rFonts w:ascii="Times New Roman" w:eastAsia="標楷體" w:hAnsi="Times New Roman" w:cs="Times New Roman"/>
                <w:szCs w:val="24"/>
              </w:rPr>
              <w:t>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3-1,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3-2,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3-3,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5-1,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5-2,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6-1,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6-2,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7-1,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7-2,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21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（圖</w:t>
            </w:r>
            <w:r>
              <w:rPr>
                <w:rFonts w:ascii="Times New Roman" w:eastAsia="標楷體" w:hAnsi="Times New Roman" w:cs="Times New Roman"/>
                <w:szCs w:val="24"/>
              </w:rPr>
              <w:t>4-1,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6-3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9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16E4D" w:rsidTr="00116E4D">
        <w:trPr>
          <w:trHeight w:val="477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嚴重（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（圖</w:t>
            </w:r>
            <w:r>
              <w:rPr>
                <w:rFonts w:ascii="Times New Roman" w:eastAsia="標楷體" w:hAnsi="Times New Roman" w:cs="Times New Roman"/>
                <w:szCs w:val="24"/>
              </w:rPr>
              <w:t>8,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9,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10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-1</w:t>
            </w:r>
            <w:r>
              <w:rPr>
                <w:rFonts w:ascii="Times New Roman" w:eastAsia="標楷體" w:hAnsi="Times New Roman" w:cs="Times New Roman"/>
                <w:szCs w:val="24"/>
              </w:rPr>
              <w:t>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13-3,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17,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18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，圖</w:t>
            </w:r>
            <w:r>
              <w:rPr>
                <w:rFonts w:ascii="Times New Roman" w:eastAsia="標楷體" w:hAnsi="Times New Roman" w:cs="Times New Roman"/>
                <w:szCs w:val="24"/>
              </w:rPr>
              <w:t>22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4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（圖</w:t>
            </w:r>
            <w:r>
              <w:rPr>
                <w:rFonts w:ascii="Times New Roman" w:eastAsia="標楷體" w:hAnsi="Times New Roman" w:cs="Times New Roman"/>
                <w:szCs w:val="24"/>
              </w:rPr>
              <w:t>20-1,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20-2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6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16E4D" w:rsidTr="00116E4D">
        <w:trPr>
          <w:trHeight w:val="659"/>
          <w:jc w:val="center"/>
        </w:trPr>
        <w:tc>
          <w:tcPr>
            <w:tcW w:w="10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輕微（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i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（圖</w:t>
            </w:r>
            <w:r>
              <w:rPr>
                <w:rFonts w:ascii="Times New Roman" w:eastAsia="標楷體" w:hAnsi="Times New Roman" w:cs="Times New Roman"/>
                <w:szCs w:val="24"/>
              </w:rPr>
              <w:t>2-1,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2-2,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4-2,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 xml:space="preserve"> </w:t>
            </w:r>
            <w:r>
              <w:rPr>
                <w:rFonts w:ascii="Times New Roman" w:eastAsia="標楷體" w:hAnsi="Times New Roman" w:cs="Times New Roman" w:hint="eastAsia"/>
                <w:color w:val="FF0000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color w:val="FF0000"/>
                <w:szCs w:val="24"/>
              </w:rPr>
              <w:t>10-2,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13-1,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13-2,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14-2,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15,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16-1,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16-2 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19-1,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19-2,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19-3,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圖</w:t>
            </w:r>
            <w:r>
              <w:rPr>
                <w:rFonts w:ascii="Times New Roman" w:eastAsia="標楷體" w:hAnsi="Times New Roman" w:cs="Times New Roman"/>
                <w:szCs w:val="24"/>
              </w:rPr>
              <w:t>19-4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839" w:hanging="839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</w:p>
          <w:p w:rsidR="00116E4D" w:rsidRDefault="00116E4D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（</w:t>
            </w:r>
            <w:r>
              <w:rPr>
                <w:rFonts w:ascii="Times New Roman" w:eastAsia="標楷體" w:hAnsi="Times New Roman" w:cs="Times New Roman"/>
                <w:szCs w:val="24"/>
              </w:rPr>
              <w:t xml:space="preserve">   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16E4D" w:rsidTr="00116E4D">
        <w:trPr>
          <w:trHeight w:val="556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E4D" w:rsidRDefault="00116E4D">
            <w:pPr>
              <w:ind w:left="72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幾乎不可能（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可能（</w:t>
            </w:r>
            <w:r>
              <w:rPr>
                <w:rFonts w:ascii="Times New Roman" w:eastAsia="標楷體" w:hAnsi="Times New Roman" w:cs="Times New Roman"/>
                <w:szCs w:val="24"/>
              </w:rPr>
              <w:t>2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  <w:tc>
          <w:tcPr>
            <w:tcW w:w="1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firstLineChars="14" w:firstLine="34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幾乎確定（</w:t>
            </w:r>
            <w:r>
              <w:rPr>
                <w:rFonts w:ascii="Times New Roman" w:eastAsia="標楷體" w:hAnsi="Times New Roman" w:cs="Times New Roman"/>
                <w:szCs w:val="24"/>
              </w:rPr>
              <w:t>3</w:t>
            </w:r>
            <w:r>
              <w:rPr>
                <w:rFonts w:ascii="Times New Roman" w:eastAsia="標楷體" w:hAnsi="Times New Roman" w:cs="Times New Roman" w:hint="eastAsia"/>
                <w:szCs w:val="24"/>
              </w:rPr>
              <w:t>）</w:t>
            </w:r>
          </w:p>
        </w:tc>
      </w:tr>
      <w:tr w:rsidR="00116E4D" w:rsidTr="00116E4D">
        <w:trPr>
          <w:trHeight w:val="540"/>
          <w:jc w:val="center"/>
        </w:trPr>
        <w:tc>
          <w:tcPr>
            <w:tcW w:w="102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16E4D" w:rsidRDefault="00116E4D">
            <w:pPr>
              <w:ind w:left="840" w:hanging="84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97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6E4D" w:rsidRDefault="00116E4D">
            <w:pPr>
              <w:ind w:left="961" w:hanging="961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發生機率</w:t>
            </w:r>
          </w:p>
        </w:tc>
      </w:tr>
    </w:tbl>
    <w:p w:rsidR="00116E4D" w:rsidRDefault="00116E4D" w:rsidP="00116E4D">
      <w:pPr>
        <w:jc w:val="right"/>
        <w:rPr>
          <w:rFonts w:ascii="Times New Roman" w:eastAsia="標楷體" w:hAnsi="Times New Roman" w:cs="Times New Roman"/>
          <w:sz w:val="26"/>
          <w:szCs w:val="26"/>
        </w:rPr>
      </w:pPr>
      <w:r>
        <w:rPr>
          <w:rFonts w:ascii="Times New Roman" w:eastAsia="標楷體" w:hAnsi="Times New Roman" w:cs="Times New Roman" w:hint="eastAsia"/>
          <w:sz w:val="16"/>
          <w:szCs w:val="16"/>
        </w:rPr>
        <w:t>回</w:t>
      </w:r>
      <w:hyperlink r:id="rId4" w:anchor="圖書暨資訊處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圖書暨資訊處</w:t>
        </w:r>
      </w:hyperlink>
      <w:r>
        <w:rPr>
          <w:rFonts w:ascii="Times New Roman" w:eastAsia="標楷體" w:hAnsi="Times New Roman" w:cs="Times New Roman" w:hint="eastAsia"/>
          <w:sz w:val="16"/>
          <w:szCs w:val="16"/>
        </w:rPr>
        <w:t>、</w:t>
      </w:r>
      <w:hyperlink r:id="rId5" w:anchor="目錄" w:history="1">
        <w:r>
          <w:rPr>
            <w:rStyle w:val="a3"/>
            <w:rFonts w:ascii="Times New Roman" w:eastAsia="標楷體" w:hAnsi="Times New Roman" w:cs="Times New Roman" w:hint="eastAsia"/>
            <w:sz w:val="16"/>
            <w:szCs w:val="16"/>
          </w:rPr>
          <w:t>目錄</w:t>
        </w:r>
      </w:hyperlink>
    </w:p>
    <w:p w:rsidR="00116E4D" w:rsidRDefault="00116E4D" w:rsidP="00116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圖書暨資訊處現有內控項目經風險分析後，屬風險等級高者</w:t>
      </w:r>
      <w:r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項，風險等級中者</w:t>
      </w:r>
      <w:r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13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項，風險等級低者</w:t>
      </w:r>
      <w:r>
        <w:rPr>
          <w:rFonts w:ascii="Times New Roman" w:eastAsia="標楷體" w:hAnsi="Times New Roman" w:cs="Times New Roman"/>
          <w:kern w:val="0"/>
          <w:sz w:val="28"/>
          <w:szCs w:val="28"/>
          <w:u w:val="single"/>
        </w:rPr>
        <w:t>2</w:t>
      </w:r>
      <w:r>
        <w:rPr>
          <w:rFonts w:ascii="Times New Roman" w:eastAsia="標楷體" w:hAnsi="Times New Roman" w:cs="Times New Roman"/>
          <w:color w:val="FF0000"/>
          <w:kern w:val="0"/>
          <w:sz w:val="28"/>
          <w:szCs w:val="28"/>
          <w:u w:val="single"/>
        </w:rPr>
        <w:t>3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項。</w:t>
      </w:r>
    </w:p>
    <w:p w:rsidR="00164420" w:rsidRPr="00116E4D" w:rsidRDefault="00164420">
      <w:bookmarkStart w:id="4" w:name="_GoBack"/>
      <w:bookmarkEnd w:id="4"/>
    </w:p>
    <w:sectPr w:rsidR="00164420" w:rsidRPr="00116E4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220"/>
    <w:rsid w:val="00116E4D"/>
    <w:rsid w:val="00164420"/>
    <w:rsid w:val="0017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F7F642"/>
  <w15:chartTrackingRefBased/>
  <w15:docId w15:val="{36671CA7-8C55-46E9-90EA-87E02E6E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5220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5220"/>
    <w:rPr>
      <w:color w:val="0563C1" w:themeColor="hyperlink"/>
      <w:u w:val="single"/>
    </w:rPr>
  </w:style>
  <w:style w:type="paragraph" w:customStyle="1" w:styleId="31">
    <w:name w:val="標題3"/>
    <w:basedOn w:val="3"/>
    <w:next w:val="3"/>
    <w:link w:val="32"/>
    <w:qFormat/>
    <w:rsid w:val="00175220"/>
    <w:pPr>
      <w:spacing w:line="0" w:lineRule="atLeast"/>
      <w:jc w:val="both"/>
    </w:pPr>
    <w:rPr>
      <w:rFonts w:ascii="標楷體" w:eastAsia="標楷體" w:hAnsi="標楷體"/>
      <w:sz w:val="28"/>
      <w:szCs w:val="28"/>
    </w:rPr>
  </w:style>
  <w:style w:type="character" w:customStyle="1" w:styleId="32">
    <w:name w:val="標題3 字元"/>
    <w:basedOn w:val="a0"/>
    <w:link w:val="31"/>
    <w:rsid w:val="00175220"/>
    <w:rPr>
      <w:rFonts w:ascii="標楷體" w:eastAsia="標楷體" w:hAnsi="標楷體" w:cstheme="majorBidi"/>
      <w:b/>
      <w:bCs/>
      <w:sz w:val="28"/>
      <w:szCs w:val="28"/>
    </w:rPr>
  </w:style>
  <w:style w:type="character" w:customStyle="1" w:styleId="30">
    <w:name w:val="標題 3 字元"/>
    <w:basedOn w:val="a0"/>
    <w:link w:val="3"/>
    <w:uiPriority w:val="9"/>
    <w:semiHidden/>
    <w:rsid w:val="00175220"/>
    <w:rPr>
      <w:rFonts w:asciiTheme="majorHAnsi" w:eastAsiaTheme="majorEastAsia" w:hAnsiTheme="majorHAnsi" w:cstheme="majorBidi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48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7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I:\&#22294;&#26360;&#26280;&#36039;&#35338;&#34389;\&#20315;&#20809;&#22823;&#23416;%20&#22294;&#26360;&#26280;&#36039;&#35338;&#34389;%20&#39080;&#38570;&#22294;&#20687;.docx" TargetMode="External"/><Relationship Id="rId4" Type="http://schemas.openxmlformats.org/officeDocument/2006/relationships/hyperlink" Target="file:///I:\&#22294;&#26360;&#26280;&#36039;&#35338;&#34389;\&#20315;&#20809;&#22823;&#23416;%20&#22294;&#26360;&#26280;&#36039;&#35338;&#34389;%20&#39080;&#38570;&#22294;&#20687;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2024-03-28T07:02:00Z</dcterms:created>
  <dcterms:modified xsi:type="dcterms:W3CDTF">2024-04-02T08:07:00Z</dcterms:modified>
</cp:coreProperties>
</file>