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DD" w:rsidRPr="001C7A5C" w:rsidRDefault="009D09DD" w:rsidP="009D09D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54"/>
      <w:r w:rsidRPr="001C7A5C">
        <w:rPr>
          <w:rFonts w:ascii="標楷體" w:eastAsia="標楷體" w:hAnsi="標楷體" w:hint="eastAsia"/>
          <w:b/>
          <w:sz w:val="32"/>
          <w:szCs w:val="32"/>
        </w:rPr>
        <w:t>佛光大學 圖書暨資訊處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內控項目風險評估彙總表</w:t>
      </w:r>
      <w:bookmarkEnd w:id="0"/>
    </w:p>
    <w:p w:rsidR="009D09DD" w:rsidRPr="001B0A44" w:rsidRDefault="009D09DD" w:rsidP="009D09DD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509"/>
        <w:gridCol w:w="1019"/>
        <w:gridCol w:w="3484"/>
        <w:gridCol w:w="1935"/>
        <w:gridCol w:w="723"/>
        <w:gridCol w:w="725"/>
        <w:gridCol w:w="721"/>
      </w:tblGrid>
      <w:tr w:rsidR="009D09DD" w:rsidRPr="00D916F1" w:rsidTr="006E1090">
        <w:tc>
          <w:tcPr>
            <w:tcW w:w="374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影響程度之敘述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影響程度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發生機率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風險值</w:t>
            </w:r>
          </w:p>
        </w:tc>
      </w:tr>
      <w:tr w:rsidR="009D09DD" w:rsidRPr="00D916F1" w:rsidTr="006E1090">
        <w:trPr>
          <w:trHeight w:val="210"/>
        </w:trPr>
        <w:tc>
          <w:tcPr>
            <w:tcW w:w="374" w:type="pct"/>
            <w:vMerge w:val="restar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D916F1">
              <w:rPr>
                <w:rFonts w:ascii="標楷體" w:eastAsia="標楷體" w:hAnsi="標楷體" w:hint="eastAsia"/>
                <w:kern w:val="0"/>
                <w:szCs w:val="24"/>
              </w:rPr>
              <w:t>圖資處</w:t>
            </w:r>
            <w:proofErr w:type="gramEnd"/>
          </w:p>
        </w:tc>
        <w:tc>
          <w:tcPr>
            <w:tcW w:w="258" w:type="pct"/>
            <w:vMerge w:val="restar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517" w:type="pct"/>
            <w:vMerge w:val="restar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圖1</w:t>
            </w:r>
          </w:p>
        </w:tc>
        <w:tc>
          <w:tcPr>
            <w:tcW w:w="1768" w:type="pct"/>
            <w:vMerge w:val="restar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1180-001系統開發及程式修改作業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21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517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768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圖2-1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1180-002-1系統文書編製作業-A.系統文書製作與修改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圖2-2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1180-002-2系統文書編製作業-B.系統文書管理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圖3-1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1180-003-1程式及資料之存取作業-A.資訊安全規範與存取控制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圖3-2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1180-003-2程式及資料之存取作業-B.使用者權限管理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圖3-3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1180-003-3程式及資料之存取作業-C.程式及資料檔案存取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圖4-1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1180-004-1資料輸出入及處理作業-A.資料輸入及處理作業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圖4-2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1180-004-2資料輸出入及處理作業-B.資料輸出及處理作業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圖5-1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1180-005-1檔案及設備之安全作業-A.實體安全及機房管理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圖5-2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1180-005-2檔案及設備之安全作業-B.備份及備援管理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圖6-1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1180-006-1硬體及系統軟體之使用與維護作業-A.硬體及系統軟體之採購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圖6-2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1180-006-2硬體及系統軟體之使用與維護作業-B.硬體及系統軟體之維護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bookmarkStart w:id="2" w:name="OLE_LINK36"/>
            <w:bookmarkStart w:id="3" w:name="OLE_LINK37"/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  <w:bookmarkEnd w:id="2"/>
            <w:bookmarkEnd w:id="3"/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圖6-3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1180-006-3硬體及系統軟體之使用與維護作業-C.智慧財產權之管理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bookmarkStart w:id="4" w:name="OLE_LINK38"/>
            <w:bookmarkStart w:id="5" w:name="OLE_LINK39"/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  <w:bookmarkEnd w:id="4"/>
            <w:bookmarkEnd w:id="5"/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圖7-1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1180-007-1系統復原計畫及測試作業-A.復原計畫及演練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圖7-2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1180-007-2系統復原計畫及測試作業-B.重要電腦設施之故障復原及測試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圖8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1180-008資訊安全之檢查作業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圖9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1180-009圖書資料徵集與採購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圖10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1180-010期刊採購與管理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</w:t>
            </w: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lastRenderedPageBreak/>
              <w:t>2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1180-011圖書資料分類編目與上架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1180-012圖書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資料交贈處理</w:t>
            </w:r>
            <w:proofErr w:type="gramEnd"/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圖13-1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1180-013-1流通櫃台管理-A.圖書資料流通管理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圖13-2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1180-013-2流通櫃台管理-B.讀者資料維護管理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權限生效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圖13-3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1180-013-3流通櫃台管理-C.讀者資料維護管理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權限失效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kern w:val="0"/>
                <w:szCs w:val="24"/>
                <w:u w:val="single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51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圖14-2</w:t>
            </w:r>
          </w:p>
        </w:tc>
        <w:tc>
          <w:tcPr>
            <w:tcW w:w="17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1180-014-2圖書資料典藏及書庫管理-B.圖書資料異常狀況處理</w:t>
            </w:r>
          </w:p>
        </w:tc>
        <w:tc>
          <w:tcPr>
            <w:tcW w:w="982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圖15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1180-015圖書資料淘汰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圖16-1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1180-016-1參考服務-A.參考咨詢服務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72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圖16-2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1180-016-2參考服務-B.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線上資料庫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推廣活動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圖17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1180-017線上資料庫之採購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圖18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1180-018博碩士數位論文上傳繳交作業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圖19-1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1180-019-1館際合作事項-A.對外申請件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申請人借書（含文獻複印）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圖19-2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1180-019-2館際合作事項-B.對外申請件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申請人還書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圖19-3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1180-019-3館際合作事項-C.外來申請件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申請人借書（含文獻複印）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51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圖19-4</w:t>
            </w:r>
          </w:p>
        </w:tc>
        <w:tc>
          <w:tcPr>
            <w:tcW w:w="17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1180-019-4館際合作事項-D.外來申請件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申請人還書</w:t>
            </w:r>
          </w:p>
        </w:tc>
        <w:tc>
          <w:tcPr>
            <w:tcW w:w="982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  <w:hideMark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  <w:hideMark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 w:rsidRPr="00D916F1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517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圖20-1</w:t>
            </w:r>
          </w:p>
        </w:tc>
        <w:tc>
          <w:tcPr>
            <w:tcW w:w="1768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1180-020-1系統委外開發流程</w:t>
            </w:r>
            <w:proofErr w:type="gramStart"/>
            <w:r w:rsidRPr="00A37C2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A37C2C">
              <w:rPr>
                <w:rFonts w:ascii="標楷體" w:eastAsia="標楷體" w:hAnsi="標楷體" w:hint="eastAsia"/>
                <w:szCs w:val="24"/>
              </w:rPr>
              <w:t>新系統招標</w:t>
            </w:r>
          </w:p>
        </w:tc>
        <w:tc>
          <w:tcPr>
            <w:tcW w:w="982" w:type="pct"/>
            <w:vAlign w:val="center"/>
          </w:tcPr>
          <w:p w:rsidR="009D09DD" w:rsidRPr="00A37C2C" w:rsidRDefault="009D09DD" w:rsidP="006E1090">
            <w:pPr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517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圖20-2</w:t>
            </w:r>
          </w:p>
        </w:tc>
        <w:tc>
          <w:tcPr>
            <w:tcW w:w="1768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1180-020-2系統委外開發流程</w:t>
            </w:r>
            <w:proofErr w:type="gramStart"/>
            <w:r w:rsidRPr="00A37C2C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A37C2C">
              <w:rPr>
                <w:rFonts w:ascii="標楷體" w:eastAsia="標楷體" w:hAnsi="標楷體" w:hint="eastAsia"/>
                <w:szCs w:val="24"/>
              </w:rPr>
              <w:t>現有系統功能擴增</w:t>
            </w:r>
          </w:p>
        </w:tc>
        <w:tc>
          <w:tcPr>
            <w:tcW w:w="982" w:type="pct"/>
            <w:vAlign w:val="center"/>
          </w:tcPr>
          <w:p w:rsidR="009D09DD" w:rsidRPr="00A37C2C" w:rsidRDefault="009D09DD" w:rsidP="006E1090">
            <w:pPr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申訴/抱怨</w:t>
            </w:r>
          </w:p>
        </w:tc>
        <w:tc>
          <w:tcPr>
            <w:tcW w:w="367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8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6" w:type="pct"/>
            <w:vAlign w:val="center"/>
          </w:tcPr>
          <w:p w:rsidR="009D09DD" w:rsidRPr="00A37C2C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A37C2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9D09DD" w:rsidRPr="00D916F1" w:rsidTr="006E1090">
        <w:trPr>
          <w:trHeight w:val="180"/>
        </w:trPr>
        <w:tc>
          <w:tcPr>
            <w:tcW w:w="374" w:type="pct"/>
            <w:vMerge/>
            <w:vAlign w:val="center"/>
          </w:tcPr>
          <w:p w:rsidR="009D09DD" w:rsidRPr="00D916F1" w:rsidRDefault="009D09DD" w:rsidP="006E1090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9D09DD" w:rsidRPr="00D916F1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517" w:type="pct"/>
            <w:vAlign w:val="center"/>
          </w:tcPr>
          <w:p w:rsidR="009D09DD" w:rsidRPr="00030CE4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C00CC"/>
                <w:kern w:val="0"/>
                <w:szCs w:val="24"/>
                <w:u w:val="single"/>
              </w:rPr>
            </w:pPr>
            <w:r w:rsidRPr="00CA2459">
              <w:rPr>
                <w:rFonts w:ascii="標楷體" w:eastAsia="標楷體" w:hAnsi="標楷體" w:hint="eastAsia"/>
                <w:szCs w:val="24"/>
              </w:rPr>
              <w:t>圖21</w:t>
            </w:r>
          </w:p>
        </w:tc>
        <w:tc>
          <w:tcPr>
            <w:tcW w:w="1768" w:type="pct"/>
            <w:vAlign w:val="center"/>
          </w:tcPr>
          <w:p w:rsidR="009D09DD" w:rsidRPr="00CA2459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CA2459">
              <w:rPr>
                <w:rFonts w:ascii="標楷體" w:eastAsia="標楷體" w:hAnsi="標楷體" w:hint="eastAsia"/>
                <w:szCs w:val="24"/>
              </w:rPr>
              <w:t>1180-21圖書館設備維護</w:t>
            </w:r>
          </w:p>
        </w:tc>
        <w:tc>
          <w:tcPr>
            <w:tcW w:w="982" w:type="pct"/>
            <w:vAlign w:val="center"/>
          </w:tcPr>
          <w:p w:rsidR="009D09DD" w:rsidRPr="00030CE4" w:rsidRDefault="009D09DD" w:rsidP="006E109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C00CC"/>
                <w:szCs w:val="24"/>
                <w:u w:val="single"/>
              </w:rPr>
            </w:pPr>
            <w:r w:rsidRPr="00CA2459">
              <w:rPr>
                <w:rFonts w:ascii="標楷體" w:eastAsia="標楷體" w:hAnsi="標楷體" w:hint="eastAsia"/>
                <w:szCs w:val="24"/>
              </w:rPr>
              <w:t>法規/上級機關處分</w:t>
            </w:r>
          </w:p>
        </w:tc>
        <w:tc>
          <w:tcPr>
            <w:tcW w:w="367" w:type="pct"/>
            <w:vAlign w:val="center"/>
          </w:tcPr>
          <w:p w:rsidR="009D09DD" w:rsidRPr="00CA2459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245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8" w:type="pct"/>
            <w:vAlign w:val="center"/>
          </w:tcPr>
          <w:p w:rsidR="009D09DD" w:rsidRPr="00CA2459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245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6" w:type="pct"/>
            <w:vAlign w:val="center"/>
          </w:tcPr>
          <w:p w:rsidR="009D09DD" w:rsidRPr="00CA2459" w:rsidRDefault="009D09DD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A245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9D09DD" w:rsidRPr="00595B99" w:rsidRDefault="009D09DD" w:rsidP="009D09DD">
      <w:pPr>
        <w:widowControl/>
        <w:jc w:val="right"/>
        <w:rPr>
          <w:rFonts w:ascii="標楷體" w:eastAsia="標楷體" w:hAnsi="標楷體"/>
          <w:szCs w:val="24"/>
        </w:rPr>
      </w:pPr>
    </w:p>
    <w:p w:rsidR="009D09DD" w:rsidRPr="00595B99" w:rsidRDefault="009D09DD" w:rsidP="009D09DD">
      <w:pPr>
        <w:widowControl/>
        <w:rPr>
          <w:rFonts w:ascii="標楷體" w:eastAsia="標楷體" w:hAnsi="標楷體"/>
          <w:szCs w:val="24"/>
        </w:rPr>
      </w:pPr>
      <w:r w:rsidRPr="00595B99">
        <w:rPr>
          <w:rFonts w:ascii="標楷體" w:eastAsia="標楷體" w:hAnsi="標楷體"/>
          <w:szCs w:val="24"/>
        </w:rPr>
        <w:br w:type="page"/>
      </w:r>
    </w:p>
    <w:p w:rsidR="009D09DD" w:rsidRPr="001C7A5C" w:rsidRDefault="009D09DD" w:rsidP="009D09D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6" w:name="_Toc524360455"/>
      <w:r w:rsidRPr="001C7A5C">
        <w:rPr>
          <w:rFonts w:ascii="標楷體" w:eastAsia="標楷體" w:hAnsi="標楷體" w:hint="eastAsia"/>
          <w:b/>
          <w:sz w:val="32"/>
          <w:szCs w:val="32"/>
        </w:rPr>
        <w:lastRenderedPageBreak/>
        <w:t>佛光大學 圖書暨資訊處 風險圖像</w:t>
      </w:r>
      <w:bookmarkEnd w:id="6"/>
    </w:p>
    <w:p w:rsidR="009D09DD" w:rsidRPr="001B0A44" w:rsidRDefault="009D09DD" w:rsidP="009D09DD">
      <w:pPr>
        <w:jc w:val="right"/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749"/>
        <w:gridCol w:w="2473"/>
        <w:gridCol w:w="2613"/>
      </w:tblGrid>
      <w:tr w:rsidR="009D09DD" w:rsidRPr="001B0A44" w:rsidTr="006E1090">
        <w:trPr>
          <w:trHeight w:val="500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961" w:hanging="9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961" w:hanging="9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風險值（風險分布）</w:t>
            </w:r>
          </w:p>
        </w:tc>
      </w:tr>
      <w:tr w:rsidR="009D09DD" w:rsidRPr="001B0A44" w:rsidTr="006E1090">
        <w:trPr>
          <w:trHeight w:val="721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（圖1,圖3-1,圖3-2,圖3-3,圖5-1,圖5-2,圖6-1,圖6-2,圖7-1,圖7-2,</w:t>
            </w:r>
            <w:r w:rsidRPr="00CA2459">
              <w:rPr>
                <w:rFonts w:ascii="標楷體" w:eastAsia="標楷體" w:hAnsi="標楷體" w:hint="eastAsia"/>
                <w:color w:val="000000"/>
                <w:szCs w:val="24"/>
              </w:rPr>
              <w:t>圖21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（圖4-1,圖6-3）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   ）</w:t>
            </w:r>
          </w:p>
        </w:tc>
      </w:tr>
      <w:tr w:rsidR="009D09DD" w:rsidRPr="001B0A44" w:rsidTr="006E1090">
        <w:trPr>
          <w:trHeight w:val="477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嚴重（2）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（圖8,圖9,圖10,圖11,圖13-3,圖17）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Pr="009A3DD5">
              <w:rPr>
                <w:rFonts w:ascii="標楷體" w:eastAsia="標楷體" w:hAnsi="標楷體" w:hint="eastAsia"/>
                <w:color w:val="000000"/>
                <w:szCs w:val="24"/>
              </w:rPr>
              <w:t>圖20-1,圖20-2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   ）</w:t>
            </w:r>
          </w:p>
        </w:tc>
      </w:tr>
      <w:tr w:rsidR="009D09DD" w:rsidRPr="001B0A44" w:rsidTr="006E1090">
        <w:trPr>
          <w:trHeight w:val="659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i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（圖2-1,圖2-2,圖4-2,圖12,圖13-1,圖13-2,圖14-2,圖15,圖16-1,圖16-2,圖18,圖19-1,圖19-2,圖19-3,圖19-4）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   ）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839" w:hanging="839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</w:p>
          <w:p w:rsidR="009D09DD" w:rsidRPr="001B0A44" w:rsidRDefault="009D09DD" w:rsidP="006E109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（   ）</w:t>
            </w:r>
          </w:p>
        </w:tc>
      </w:tr>
      <w:tr w:rsidR="009D09DD" w:rsidRPr="001B0A44" w:rsidTr="006E1090">
        <w:trPr>
          <w:trHeight w:val="556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9DD" w:rsidRPr="001B0A44" w:rsidRDefault="009D09DD" w:rsidP="006E1090">
            <w:pPr>
              <w:ind w:left="7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幾乎確定（3）</w:t>
            </w:r>
          </w:p>
        </w:tc>
      </w:tr>
      <w:tr w:rsidR="009D09DD" w:rsidRPr="001B0A44" w:rsidTr="006E1090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09DD" w:rsidRPr="001B0A44" w:rsidRDefault="009D09DD" w:rsidP="006E1090">
            <w:pPr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9DD" w:rsidRPr="001B0A44" w:rsidRDefault="009D09DD" w:rsidP="006E1090">
            <w:pPr>
              <w:ind w:left="961" w:hanging="961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發生機率</w:t>
            </w:r>
          </w:p>
        </w:tc>
      </w:tr>
    </w:tbl>
    <w:p w:rsidR="009D09DD" w:rsidRPr="001B0A44" w:rsidRDefault="009D09DD" w:rsidP="009D09DD">
      <w:pPr>
        <w:jc w:val="right"/>
        <w:rPr>
          <w:rFonts w:ascii="標楷體" w:eastAsia="標楷體" w:hAnsi="標楷體"/>
          <w:color w:val="000000"/>
          <w:sz w:val="26"/>
          <w:szCs w:val="26"/>
        </w:rPr>
      </w:pPr>
    </w:p>
    <w:p w:rsidR="001B7438" w:rsidRDefault="009D09DD" w:rsidP="009D09DD">
      <w:r w:rsidRPr="001B0A44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圖書暨資訊處現有內控項目經風險分析後，屬風險等級高者</w:t>
      </w:r>
      <w:r w:rsidRPr="001B0A44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2 </w:t>
      </w:r>
      <w:r w:rsidRPr="001B0A4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項，風險等級中者</w:t>
      </w:r>
      <w:r w:rsidRPr="009A3DD5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>1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>3</w:t>
      </w:r>
      <w:r w:rsidRPr="009A3DD5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項，風險等級低者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u w:val="single"/>
        </w:rPr>
        <w:t xml:space="preserve"> 21</w:t>
      </w:r>
      <w:r w:rsidRPr="001B0A44">
        <w:rPr>
          <w:rFonts w:ascii="標楷體" w:eastAsia="標楷體" w:hAnsi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項。</w:t>
      </w:r>
    </w:p>
    <w:sectPr w:rsidR="001B7438" w:rsidSect="009D09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DD"/>
    <w:rsid w:val="001B7438"/>
    <w:rsid w:val="003029B4"/>
    <w:rsid w:val="009D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2020-12-04T02:42:00Z</dcterms:created>
  <dcterms:modified xsi:type="dcterms:W3CDTF">2020-12-04T02:42:00Z</dcterms:modified>
</cp:coreProperties>
</file>