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7368E" w14:textId="77777777" w:rsidR="009B303C" w:rsidRDefault="009B303C" w:rsidP="009B303C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768"/>
      <w:r>
        <w:rPr>
          <w:rFonts w:ascii="標楷體" w:eastAsia="標楷體" w:hAnsi="標楷體" w:hint="eastAsia"/>
          <w:b/>
          <w:sz w:val="56"/>
          <w:szCs w:val="56"/>
        </w:rPr>
        <w:t>總務處</w:t>
      </w:r>
      <w:bookmarkEnd w:id="0"/>
    </w:p>
    <w:p w14:paraId="2F048AFA" w14:textId="77777777" w:rsidR="009B303C" w:rsidRDefault="009B303C" w:rsidP="009B303C">
      <w:pPr>
        <w:pStyle w:val="21"/>
        <w:spacing w:line="240" w:lineRule="auto"/>
        <w:rPr>
          <w:rFonts w:ascii="Times New Roman" w:hAnsi="Times New Roman" w:cs="Times New Roman" w:hint="eastAsia"/>
        </w:rPr>
      </w:pPr>
      <w:bookmarkStart w:id="1" w:name="_Toc92798118"/>
      <w:bookmarkStart w:id="2" w:name="_Toc99130129"/>
      <w:bookmarkStart w:id="3" w:name="_Toc146031013"/>
      <w:bookmarkStart w:id="4" w:name="_Toc192064769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bookmarkStart w:id="5" w:name="總務處"/>
      <w:r>
        <w:rPr>
          <w:rFonts w:ascii="Times New Roman" w:hAnsi="Times New Roman" w:cs="Times New Roman" w:hint="eastAsia"/>
        </w:rPr>
        <w:t>總務處</w:t>
      </w:r>
      <w:bookmarkEnd w:id="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1"/>
      <w:bookmarkEnd w:id="2"/>
      <w:bookmarkEnd w:id="3"/>
      <w:bookmarkEnd w:id="4"/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76"/>
        <w:gridCol w:w="1145"/>
        <w:gridCol w:w="2731"/>
        <w:gridCol w:w="495"/>
        <w:gridCol w:w="893"/>
        <w:gridCol w:w="895"/>
        <w:gridCol w:w="1141"/>
        <w:gridCol w:w="2886"/>
      </w:tblGrid>
      <w:tr w:rsidR="009B303C" w14:paraId="236BC57F" w14:textId="77777777" w:rsidTr="009B303C">
        <w:trPr>
          <w:tblHeader/>
          <w:jc w:val="center"/>
        </w:trPr>
        <w:tc>
          <w:tcPr>
            <w:tcW w:w="2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464C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BC6F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26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DD2C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C8B6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C466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53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5DDC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34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09AE2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9B303C" w14:paraId="67BA9B1E" w14:textId="77777777" w:rsidTr="009B303C">
        <w:trPr>
          <w:tblHeader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4681C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AE53F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96B17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E3CF4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5302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6693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F63A2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CE12F8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7E31DE33" w14:textId="77777777" w:rsidTr="009B303C">
        <w:trPr>
          <w:trHeight w:val="32"/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DC4B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13D4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1-1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8DD08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7" w:anchor="採購管理作業10萬元以上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1130-001-1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採購管理作業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萬元（含）以上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448A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348B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87FF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24CD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7AEF0E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依據行政院公共工程委員會函修改小額與大額採購金額之界線。</w:t>
            </w:r>
          </w:p>
        </w:tc>
      </w:tr>
      <w:tr w:rsidR="009B303C" w14:paraId="0A339506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63CD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9F1A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1-2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982AB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8" w:anchor="採購管理作業至3萬元（含）以上至10萬元以下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1130-001-2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採購管理作業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萬元（含）以上至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萬元以下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6A78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58B8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5CD2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CEDC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798D6F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依據行政院公共工程委員會函修改小額與大額採購金額之界線。</w:t>
            </w:r>
          </w:p>
        </w:tc>
      </w:tr>
      <w:tr w:rsidR="009B303C" w14:paraId="47E7293C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8B56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459C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42E6F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採購管理作業1萬元（含）以上至3萬元以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1130-001-3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採購管理作業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萬元（含）以上至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萬元以下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632B0" w14:textId="77777777" w:rsidR="009B303C" w:rsidRDefault="009B303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6606" w14:textId="77777777" w:rsidR="009B303C" w:rsidRDefault="009B303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DD717" w14:textId="77777777" w:rsidR="009B303C" w:rsidRDefault="009B303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37D7" w14:textId="77777777" w:rsidR="009B303C" w:rsidRDefault="009B303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580C93" w14:textId="77777777" w:rsidR="009B303C" w:rsidRDefault="009B303C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0E52A8E4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5C7B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BF7B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C37AC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0" w:anchor="教職員宿舍申請分配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教職員宿舍申請分配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0A0C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5676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BFA0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4FB0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CEEC79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17D790E2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5D88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027C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3DA3C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1" w:anchor="校車管理作業—校車支援申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1130-003-1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校車管理作業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校車支援申請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805D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3EA7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75C8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4A95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2043D8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7B22FC3B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DF8A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9149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85467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2" w:anchor="校車管理作業—校車事故異常管理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1130-003-2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校車管理作業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校車事故、異常管理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AC1F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222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EFA3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7F4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C66DD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34A8F4A2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35C5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B629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1BF33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勤務支援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勤務支援作業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0F5E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6417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A1B9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53E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EBF1D2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31E5CAF9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DC18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6D16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C497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財物管理作業A財產新增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財物管理作業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財產新增作業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A328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C4D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9CE8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5AD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A308F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6ACA5BF5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8710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4C05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44057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5" w:anchor="財物管理作業B財產驗收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財物管理作業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財產驗收作業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54F5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126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7CF2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FD8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B26B47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0AA53BEC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6A5A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F292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5-3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9A8E2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6" w:anchor="財物管理作業C財產移轉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財物管理作業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-C.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財產移轉作業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0D47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EEC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C842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31D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13F4DB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23CB276A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87AD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DE28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5-4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88234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7" w:anchor="財物管理作業D物品借用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財物管理作業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-D.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物品借用作業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7D60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0C9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F816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6CB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F43DD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00B1A356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3D4D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912F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5-5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8BBC2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8" w:anchor="財物管理作業E財產盤點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財物管理作業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-E.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財產盤點作業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7E64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9313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1F08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89C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76C6B3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06874652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3D9B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3C8D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5-6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C2451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9" w:anchor="財物管理作業F財產報廢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1130-005-6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財物管理作業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-F.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財產報廢作業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9ECD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02E3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A486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86F7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B8C5C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01151DF3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17D1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9029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56B3E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0" w:anchor="場地管理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場地管理作業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0042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770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C66B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66A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AB9C2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58F418FF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A97E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2E56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71C9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1" w:anchor="收文管理作業_A紙本收文管理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1130-007-1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收文管理作業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紙本收文管理作業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F796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1745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99E4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CDC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E73549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189AC4EC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C2A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A8C1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CC331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2" w:anchor="收文管理作業_B電子收文管理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1130-007-2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收文管理作業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電子收文管理作業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9062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04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E718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5C34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301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329568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329906EE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15B3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6144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45E21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3" w:anchor="發文管理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發文管理作業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BE15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C02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7F06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DA82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87F39A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3D329FF2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BA3D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93E9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38F7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4" w:anchor="公文調閱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1130-009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公文調閱作業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267F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B7C5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E215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23F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BA328F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764B92BD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ED47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9B2F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4AB58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5" w:anchor="收款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1130-011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收款作業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E061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D7AB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AE70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DB1E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9F2497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表單修正為現行使用表單名稱</w:t>
            </w:r>
          </w:p>
        </w:tc>
      </w:tr>
      <w:tr w:rsidR="009B303C" w14:paraId="273FD344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94D5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956B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10006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6" w:anchor="付款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付款作業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AD9F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7E4B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F1FF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A49D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702B73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5CEB0444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88E2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3303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13-1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D559E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7" w:anchor="設備維護保養作業—一般設備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1130-013-1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設備維護保養作業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一般設備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A6B9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F180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90AD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205E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D9CF1B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B303C" w14:paraId="0D458EFA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F8D2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22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6F2F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13-2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32FB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8" w:anchor="設備維護保養作業—大型機電設備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1130-013-2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設備維護保養作業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大型機電設備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963D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03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982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1267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CBF9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BF0C3F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B303C" w14:paraId="3FBD4AFE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AC83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0A79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97CF6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9" w:anchor="修繕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修繕作業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B929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0DD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77F8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3FFE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D6B61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3384C12A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2DB8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D6B9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46E1E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0" w:anchor="教師研究室分配暨管理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教師研究室分配暨管理作業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169F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9EB6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0E9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426E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F51071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3FF9863C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33F1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88FE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65BE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1" w:anchor="空間規劃暨分配委員會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空間規劃暨分配委員會作業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85F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3AD5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E0DE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C68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74B88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6BD93980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F7FD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939D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CF746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2" w:anchor="場地外包經營管理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場地外包經營管理作業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7102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365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6411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B94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C6DB4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4A668E72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FDCA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10E4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E375B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3" w:anchor="公文管考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公文管考作業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E44F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7DC2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638D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394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8886E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2989C4AF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384E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D80E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81874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4" w:anchor="校園邊坡安全穩定監測及巡檢修護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1130-019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校園邊坡安全穩定監測及巡檢修護作業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F0CD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0B0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B9F8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84B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71A54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303C" w14:paraId="1E0096ED" w14:textId="77777777" w:rsidTr="009B303C">
        <w:trPr>
          <w:jc w:val="center"/>
        </w:trPr>
        <w:tc>
          <w:tcPr>
            <w:tcW w:w="26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4B41F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2DA89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AAAF16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hyperlink r:id="rId35" w:anchor="不動產之處分、設定負擔、購置或出租。動產購置及附屬機構之設立、相" w:history="1">
              <w:r>
                <w:rPr>
                  <w:rStyle w:val="a3"/>
                  <w:rFonts w:ascii="Times New Roman" w:eastAsia="標楷體" w:hAnsi="Times New Roman" w:cs="Times New Roman"/>
                </w:rPr>
                <w:t>1130-020</w:t>
              </w:r>
              <w:r>
                <w:rPr>
                  <w:rStyle w:val="a3"/>
                  <w:rFonts w:ascii="Times New Roman" w:eastAsia="標楷體" w:hAnsi="Times New Roman" w:cs="Times New Roman" w:hint="eastAsia"/>
                </w:rPr>
                <w:t>不動產之處分、設定負擔、購置或出租，及動產購置作業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0B91D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E7D84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B61D5F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5A565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E6FB6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7AAB4AD" w14:textId="77777777" w:rsidR="009B303C" w:rsidRDefault="009B303C" w:rsidP="009B303C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36" w:anchor="總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總務處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37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24"/>
          </w:rPr>
          <w:t>目錄</w:t>
        </w:r>
      </w:hyperlink>
    </w:p>
    <w:p w14:paraId="0AE21BA1" w14:textId="77777777" w:rsidR="009B303C" w:rsidRDefault="009B303C" w:rsidP="009B303C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/>
          <w:color w:val="0563C1" w:themeColor="hyperlink"/>
          <w:kern w:val="0"/>
          <w:sz w:val="16"/>
          <w:szCs w:val="16"/>
          <w:u w:val="single"/>
        </w:rPr>
        <w:br w:type="page"/>
      </w:r>
    </w:p>
    <w:p w14:paraId="1F4AAD9B" w14:textId="77777777" w:rsidR="009B303C" w:rsidRDefault="009B303C" w:rsidP="009B303C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0EF2DD0B" w14:textId="77777777" w:rsidR="009B303C" w:rsidRDefault="009B303C" w:rsidP="009B303C">
      <w:pPr>
        <w:pStyle w:val="31"/>
        <w:jc w:val="center"/>
        <w:rPr>
          <w:sz w:val="36"/>
        </w:rPr>
      </w:pPr>
      <w:bookmarkStart w:id="6" w:name="_Toc192064770"/>
      <w:bookmarkStart w:id="7" w:name="_Toc146031014"/>
      <w:r>
        <w:rPr>
          <w:rFonts w:ascii="Times New Roman" w:hAnsi="Times New Roman" w:cs="Times New Roman" w:hint="eastAsia"/>
          <w:sz w:val="36"/>
        </w:rPr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總務處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  <w:bookmarkEnd w:id="6"/>
      <w:bookmarkEnd w:id="7"/>
    </w:p>
    <w:p w14:paraId="16169849" w14:textId="77777777" w:rsidR="009B303C" w:rsidRDefault="009B303C" w:rsidP="009B303C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98"/>
        <w:gridCol w:w="608"/>
        <w:gridCol w:w="1296"/>
        <w:gridCol w:w="3067"/>
        <w:gridCol w:w="1995"/>
        <w:gridCol w:w="759"/>
        <w:gridCol w:w="993"/>
        <w:gridCol w:w="820"/>
      </w:tblGrid>
      <w:tr w:rsidR="009B303C" w14:paraId="1CE6A142" w14:textId="77777777" w:rsidTr="009B303C"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CDF3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C31B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D547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4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E182C" w14:textId="77777777" w:rsidR="009B303C" w:rsidRDefault="009B303C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219A4" w14:textId="77777777" w:rsidR="009B303C" w:rsidRDefault="009B303C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E714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BD22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7A38E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9B303C" w14:paraId="532337A6" w14:textId="77777777" w:rsidTr="009B303C">
        <w:trPr>
          <w:trHeight w:val="210"/>
        </w:trPr>
        <w:tc>
          <w:tcPr>
            <w:tcW w:w="435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52D8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總務處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16C7D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BD15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A35CC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1130-001-1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採購管理作業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萬元（含）以上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E8204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EA20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BBB5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EDF029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B303C" w14:paraId="404BD30C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AC495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44378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D4D6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F3719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1130-001-2</w:t>
            </w:r>
            <w:r>
              <w:rPr>
                <w:rFonts w:ascii="標楷體" w:eastAsia="標楷體" w:hAnsi="標楷體" w:hint="eastAsia"/>
              </w:rPr>
              <w:t>採購管理作業6萬元（含）以上至</w:t>
            </w:r>
            <w:r>
              <w:rPr>
                <w:rFonts w:ascii="標楷體" w:eastAsia="標楷體" w:hAnsi="標楷體" w:hint="eastAsia"/>
                <w:color w:val="FF0000"/>
              </w:rPr>
              <w:t>15</w:t>
            </w:r>
            <w:r>
              <w:rPr>
                <w:rFonts w:ascii="標楷體" w:eastAsia="標楷體" w:hAnsi="標楷體" w:hint="eastAsia"/>
              </w:rPr>
              <w:t>萬元以下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162EB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財物損失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CAAF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868A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249A9A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9B303C" w14:paraId="1CDC4F39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C49AD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35546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B600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1-3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0DC37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1130-001-3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採購管理作業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萬元（含）以上至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萬元以下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D0FBC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16C8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E1B1D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9302B9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B303C" w14:paraId="4466111A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7F348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E620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532B6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76F32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教職員宿舍申請分配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1AD66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612E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FCA5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5120D9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9B303C" w14:paraId="58E7B3ED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AFE6B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F1EE5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110B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BB219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校車管理作業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校車支援申請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C2CBD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D4FB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6E4A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CFEDEF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B303C" w14:paraId="4AF612D9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E7D96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4D250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5135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3C70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1130-003-2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校車管理作業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校車事故、異常管理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60F09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BA36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8D680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C9C0CC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9B303C" w14:paraId="7DC6CF44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DE646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7E44C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DFB6B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32078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勤務支援作業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18B4F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A4F4E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15BF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2223DF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B303C" w14:paraId="70E22C2C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A58D1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E202B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4EE15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E7B03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1130-005-1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財物管理作業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財產新增作業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204B2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財物損失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AFC0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275F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A3BEF9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B303C" w14:paraId="6857C88F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58C65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7D4A2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531CD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47558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1130-005-2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財物管理作業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財產驗收作業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66BB7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財物損失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F0E8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DB3C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96A580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B303C" w14:paraId="363D8BF3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60479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65D5E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89698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5-3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62EF2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1130-005-3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財物管理作業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-C.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財產移轉作業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3B8B3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財物損失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1B37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EF9F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A7ED0B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B303C" w14:paraId="780A638C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EB1A8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265B5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484FA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5-4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E5BD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1130-005-4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財物管理作業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-D.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物品借用作業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5111B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財物損失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E0AC8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0698F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1E50B0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B303C" w14:paraId="4986D91B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9FC8D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A8F74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E3400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5-5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DBC3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1130-005-5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財物管理作業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-E.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財產盤點作業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975A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財物損失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23C1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8045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EB4A1B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B303C" w14:paraId="05277B81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3BED8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D3CBD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FD116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5-6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51C33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1130-005-6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財物管理作業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-F.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財產報廢作業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796E3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財物損失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萬元以下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44B7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F2B1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858AB8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9B303C" w14:paraId="6F1F6E6B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9C25A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1E345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8891C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0D61B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場地管理作業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2A8F8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8FFC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F67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405C3C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B303C" w14:paraId="64D6AF3E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BEC32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0EE3D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07D38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085C4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1130-007-1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收文管理作業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紙本收文管理作業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8816E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A088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67D1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D97E7F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9B303C" w14:paraId="213B3E02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DC6F3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6218E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23726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AA2AB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1130-007-2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收文管理作業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電子收文管理作業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F4951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CA86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55A8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CF92AF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9B303C" w14:paraId="08910273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A4EB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1D589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9E6DF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AEDD4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發文管理作業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29862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CD48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2DCE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B11575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B303C" w14:paraId="11719984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79A31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32E48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349E4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6591C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公文調閱作業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58A9A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DA22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7404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DA440E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9B303C" w14:paraId="728A4930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B1AEB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48B88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991EF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05A24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收款作業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ECD9F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355F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578E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DB70FB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B303C" w14:paraId="44D6E455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6A7F4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61CAC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6D4F1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3EF19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付款作業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89235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DEC7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5A30A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5CA29A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B303C" w14:paraId="36629E99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26A6C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96709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287C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13-1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FE763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1130-013-1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設備維護保養作業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一般設備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C91CF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2B20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48BB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01994A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B303C" w14:paraId="7C60F568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B3106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453B3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BCD6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13-2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493F2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1130-013-2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設備維護保養作業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大型機電設備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C75C4" w14:textId="77777777" w:rsidR="009B303C" w:rsidRDefault="009B303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ECBA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78B4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C6F2E4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B303C" w14:paraId="670748F5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39C28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A6A4C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CAF30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9AC84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修繕作業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C02E5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7D4D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D518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7CEFC6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9B303C" w14:paraId="0C771C8F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6CA87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4699E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4C4AA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987AC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教師研究室分配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暨管理作業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6AA20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962E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3B9CB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7B68FB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9B303C" w14:paraId="72923FEA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F5657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030E2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00973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72EDC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1130-016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空間規劃暨分配委員會作業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D7C99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1C8C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07A4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5F8C32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9B303C" w14:paraId="6FD89DC6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AE778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EE35A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4B7CE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C37F3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場地外包經營管理作業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B1E26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06C7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E4189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650E0B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9B303C" w14:paraId="1D906BB1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9B6C7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5E841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BD80A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BA39D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8" w:anchor="公文管考作業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1130-018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  <w:u w:val="none"/>
                </w:rPr>
                <w:t>公文管考作業</w:t>
              </w:r>
            </w:hyperlink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0AFC7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434F1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FDE9C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3BF770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9B303C" w14:paraId="4FDD605A" w14:textId="77777777" w:rsidTr="009B303C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01D46" w14:textId="77777777" w:rsidR="009B303C" w:rsidRDefault="009B303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FD434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CBD90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0FBBA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1130-019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校園邊坡安全穩定監測及巡檢修護作業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5F42D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財物損失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萬元以上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52183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37D27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E4FD7C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9B303C" w14:paraId="1F90C88C" w14:textId="77777777" w:rsidTr="009B303C">
        <w:trPr>
          <w:trHeight w:val="180"/>
        </w:trPr>
        <w:tc>
          <w:tcPr>
            <w:tcW w:w="43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C64285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F2E2C0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AF1B218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54A3477" w14:textId="77777777" w:rsidR="009B303C" w:rsidRDefault="009B303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1130-020</w:t>
            </w:r>
            <w:r>
              <w:rPr>
                <w:rFonts w:ascii="標楷體" w:eastAsia="標楷體" w:hAnsi="標楷體" w:hint="eastAsia"/>
              </w:rPr>
              <w:t>不動產之處分、設定負擔、購置或出租。及動產購置作業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ACB625F" w14:textId="77777777" w:rsidR="009B303C" w:rsidRDefault="009B303C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上級機關處分、會計師查核報告書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897F46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E47314" w14:textId="77777777" w:rsidR="009B303C" w:rsidRDefault="009B30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1F8727" w14:textId="77777777" w:rsidR="009B303C" w:rsidRDefault="009B303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</w:tbl>
    <w:p w14:paraId="106A737C" w14:textId="77777777" w:rsidR="009B303C" w:rsidRDefault="009B303C" w:rsidP="009B303C">
      <w:pPr>
        <w:spacing w:line="240" w:lineRule="exact"/>
        <w:ind w:left="839" w:hanging="839"/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39" w:anchor="總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總務處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40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5EDD209B" w14:textId="77777777" w:rsidR="009B303C" w:rsidRDefault="009B303C" w:rsidP="009B303C">
      <w:pPr>
        <w:spacing w:line="240" w:lineRule="exact"/>
        <w:ind w:left="839" w:hanging="839"/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6438BBDD" w14:textId="77777777" w:rsidR="009B303C" w:rsidRDefault="009B303C" w:rsidP="009B303C">
      <w:pPr>
        <w:pStyle w:val="31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kern w:val="0"/>
          <w:sz w:val="36"/>
          <w:szCs w:val="36"/>
        </w:rPr>
        <w:br w:type="page"/>
      </w:r>
      <w:bookmarkStart w:id="8" w:name="_Toc99130131"/>
      <w:bookmarkStart w:id="9" w:name="_Toc92798120"/>
    </w:p>
    <w:p w14:paraId="6F8BFA27" w14:textId="77777777" w:rsidR="009B303C" w:rsidRDefault="009B303C" w:rsidP="009B303C">
      <w:pPr>
        <w:pStyle w:val="31"/>
        <w:jc w:val="center"/>
        <w:rPr>
          <w:rFonts w:ascii="Times New Roman" w:hAnsi="Times New Roman" w:cs="Times New Roman"/>
        </w:rPr>
      </w:pPr>
      <w:bookmarkStart w:id="10" w:name="_Toc192064771"/>
      <w:bookmarkStart w:id="11" w:name="_Toc146031015"/>
      <w:r>
        <w:rPr>
          <w:rFonts w:ascii="Times New Roman" w:hAnsi="Times New Roman" w:cs="Times New Roman" w:hint="eastAsia"/>
          <w:sz w:val="36"/>
          <w:szCs w:val="36"/>
        </w:rPr>
        <w:lastRenderedPageBreak/>
        <w:t>佛光大學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總務處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風險圖像</w:t>
      </w:r>
      <w:bookmarkEnd w:id="8"/>
      <w:bookmarkEnd w:id="9"/>
      <w:bookmarkEnd w:id="10"/>
      <w:bookmarkEnd w:id="11"/>
    </w:p>
    <w:p w14:paraId="6808A772" w14:textId="77777777" w:rsidR="009B303C" w:rsidRDefault="009B303C" w:rsidP="009B303C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2917"/>
        <w:gridCol w:w="2624"/>
        <w:gridCol w:w="2773"/>
      </w:tblGrid>
      <w:tr w:rsidR="009B303C" w14:paraId="031F8F8D" w14:textId="77777777" w:rsidTr="009B303C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B53B" w14:textId="77777777" w:rsidR="009B303C" w:rsidRDefault="009B303C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52BB" w14:textId="77777777" w:rsidR="009B303C" w:rsidRDefault="009B303C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9B303C" w14:paraId="264D603A" w14:textId="77777777" w:rsidTr="009B303C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CFDD" w14:textId="77777777" w:rsidR="009B303C" w:rsidRDefault="009B303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19A" w14:textId="77777777" w:rsidR="009B303C" w:rsidRDefault="009B303C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564AAC80" w14:textId="77777777" w:rsidR="009B303C" w:rsidRDefault="009B30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（總</w:t>
            </w:r>
            <w:r>
              <w:rPr>
                <w:rFonts w:ascii="Times New Roman" w:eastAsia="標楷體" w:hAnsi="Times New Roman" w:cs="Times New Roman"/>
                <w:szCs w:val="24"/>
              </w:rPr>
              <w:t>1-1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13-1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13-2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9893" w14:textId="77777777" w:rsidR="009B303C" w:rsidRDefault="009B303C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6F91EC5B" w14:textId="77777777" w:rsidR="009B303C" w:rsidRDefault="009B303C">
            <w:pPr>
              <w:jc w:val="center"/>
              <w:rPr>
                <w:rFonts w:ascii="Times New Roman" w:eastAsia="標楷體" w:hAnsi="Times New Roman" w:cs="Times New Roman"/>
                <w:i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（總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5EA9" w14:textId="77777777" w:rsidR="009B303C" w:rsidRDefault="009B303C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50AD601F" w14:textId="77777777" w:rsidR="009B303C" w:rsidRDefault="009B30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9B303C" w14:paraId="73CF60EF" w14:textId="77777777" w:rsidTr="009B303C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582E" w14:textId="77777777" w:rsidR="009B303C" w:rsidRDefault="009B303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9EA5" w14:textId="77777777" w:rsidR="009B303C" w:rsidRDefault="009B303C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53E31A26" w14:textId="77777777" w:rsidR="009B303C" w:rsidRDefault="009B30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（總</w:t>
            </w:r>
            <w:r>
              <w:rPr>
                <w:rFonts w:ascii="Times New Roman" w:eastAsia="標楷體" w:hAnsi="Times New Roman" w:cs="Times New Roman"/>
                <w:szCs w:val="24"/>
              </w:rPr>
              <w:t>1-2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7-1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1313" w14:textId="77777777" w:rsidR="009B303C" w:rsidRDefault="009B303C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223B8FA1" w14:textId="77777777" w:rsidR="009B303C" w:rsidRDefault="009B30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（總</w:t>
            </w:r>
            <w:r>
              <w:rPr>
                <w:rFonts w:ascii="Times New Roman" w:eastAsia="標楷體" w:hAnsi="Times New Roman" w:cs="Times New Roman"/>
                <w:szCs w:val="24"/>
              </w:rPr>
              <w:t>7-2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D127" w14:textId="77777777" w:rsidR="009B303C" w:rsidRDefault="009B303C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7AC1B1D0" w14:textId="77777777" w:rsidR="009B303C" w:rsidRDefault="009B30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9B303C" w14:paraId="54B453F7" w14:textId="77777777" w:rsidTr="009B303C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B213" w14:textId="77777777" w:rsidR="009B303C" w:rsidRDefault="009B303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697A" w14:textId="77777777" w:rsidR="009B303C" w:rsidRDefault="009B303C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3E9D60C9" w14:textId="77777777" w:rsidR="009B303C" w:rsidRDefault="009B303C">
            <w:pPr>
              <w:jc w:val="center"/>
              <w:rPr>
                <w:rFonts w:ascii="Times New Roman" w:eastAsia="標楷體" w:hAnsi="Times New Roman" w:cs="Times New Roman"/>
                <w:i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（總</w:t>
            </w:r>
            <w:r>
              <w:rPr>
                <w:rFonts w:ascii="Times New Roman" w:eastAsia="標楷體" w:hAnsi="Times New Roman" w:cs="Times New Roman"/>
                <w:szCs w:val="24"/>
              </w:rPr>
              <w:t>1-3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5-1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5-2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5-3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5-4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5-5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5-6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D556" w14:textId="77777777" w:rsidR="009B303C" w:rsidRDefault="009B303C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538327AC" w14:textId="77777777" w:rsidR="009B303C" w:rsidRDefault="009B30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（總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、總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CCBF" w14:textId="77777777" w:rsidR="009B303C" w:rsidRDefault="009B303C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32DC9E5E" w14:textId="77777777" w:rsidR="009B303C" w:rsidRDefault="009B30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（總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9B303C" w14:paraId="43A52DA0" w14:textId="77777777" w:rsidTr="009B303C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60013" w14:textId="77777777" w:rsidR="009B303C" w:rsidRDefault="009B303C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AE78" w14:textId="77777777" w:rsidR="009B303C" w:rsidRDefault="009B303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1C11" w14:textId="77777777" w:rsidR="009B303C" w:rsidRDefault="009B303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965D" w14:textId="77777777" w:rsidR="009B303C" w:rsidRDefault="009B303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9B303C" w14:paraId="58CBEB5D" w14:textId="77777777" w:rsidTr="009B303C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423AD" w14:textId="77777777" w:rsidR="009B303C" w:rsidRDefault="009B303C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6171" w14:textId="77777777" w:rsidR="009B303C" w:rsidRDefault="009B303C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14:paraId="22113B49" w14:textId="77777777" w:rsidR="009B303C" w:rsidRDefault="009B303C" w:rsidP="009B303C">
      <w:pPr>
        <w:spacing w:line="240" w:lineRule="exact"/>
        <w:ind w:left="839" w:hanging="839"/>
        <w:jc w:val="righ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1" w:anchor="總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總務處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42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0A1C1399" w14:textId="77777777" w:rsidR="009B303C" w:rsidRDefault="009B303C" w:rsidP="009B303C">
      <w:pPr>
        <w:rPr>
          <w:rFonts w:ascii="Times New Roman" w:eastAsia="標楷體" w:hAnsi="Times New Roman" w:cs="Times New Roman"/>
          <w:sz w:val="26"/>
          <w:szCs w:val="26"/>
        </w:rPr>
      </w:pPr>
    </w:p>
    <w:p w14:paraId="72289145" w14:textId="77777777" w:rsidR="009B303C" w:rsidRDefault="009B303C" w:rsidP="009B303C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總務處現有內控項目經風險分析後，屬風險等級高者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13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14:paraId="6CC112D5" w14:textId="77777777" w:rsidR="005B1C84" w:rsidRPr="009B303C" w:rsidRDefault="005B1C84" w:rsidP="009B303C">
      <w:bookmarkStart w:id="12" w:name="_GoBack"/>
      <w:bookmarkEnd w:id="12"/>
    </w:p>
    <w:sectPr w:rsidR="005B1C84" w:rsidRPr="009B303C" w:rsidSect="009B30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5DC0A" w14:textId="77777777" w:rsidR="009B303C" w:rsidRDefault="009B303C" w:rsidP="009B303C">
      <w:r>
        <w:separator/>
      </w:r>
    </w:p>
  </w:endnote>
  <w:endnote w:type="continuationSeparator" w:id="0">
    <w:p w14:paraId="19C84F7B" w14:textId="77777777" w:rsidR="009B303C" w:rsidRDefault="009B303C" w:rsidP="009B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786B1" w14:textId="77777777" w:rsidR="009B303C" w:rsidRDefault="009B303C" w:rsidP="009B303C">
      <w:r>
        <w:separator/>
      </w:r>
    </w:p>
  </w:footnote>
  <w:footnote w:type="continuationSeparator" w:id="0">
    <w:p w14:paraId="6210BD53" w14:textId="77777777" w:rsidR="009B303C" w:rsidRDefault="009B303C" w:rsidP="009B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ACE314E"/>
    <w:multiLevelType w:val="multilevel"/>
    <w:tmpl w:val="3E689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2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4BEC7199"/>
    <w:multiLevelType w:val="hybridMultilevel"/>
    <w:tmpl w:val="3D984014"/>
    <w:lvl w:ilvl="0" w:tplc="ABF456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11"/>
  </w:num>
  <w:num w:numId="10">
    <w:abstractNumId w:val="13"/>
  </w:num>
  <w:num w:numId="11">
    <w:abstractNumId w:val="8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2"/>
    <w:rsid w:val="00171E53"/>
    <w:rsid w:val="001C3521"/>
    <w:rsid w:val="001C6EFE"/>
    <w:rsid w:val="004371F1"/>
    <w:rsid w:val="005A471C"/>
    <w:rsid w:val="005B1C84"/>
    <w:rsid w:val="00610EA2"/>
    <w:rsid w:val="00615230"/>
    <w:rsid w:val="00686F58"/>
    <w:rsid w:val="008437EB"/>
    <w:rsid w:val="0084529B"/>
    <w:rsid w:val="00963CA4"/>
    <w:rsid w:val="009B303C"/>
    <w:rsid w:val="00A87528"/>
    <w:rsid w:val="00E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1107E"/>
  <w15:chartTrackingRefBased/>
  <w15:docId w15:val="{12CAAC7D-36AB-4923-B0F8-E821F8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03C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E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E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0E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0E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10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EB56E2"/>
    <w:rPr>
      <w:color w:val="954F72" w:themeColor="followedHyperlink"/>
      <w:u w:val="single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615230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615230"/>
  </w:style>
  <w:style w:type="paragraph" w:customStyle="1" w:styleId="21">
    <w:name w:val="標題2"/>
    <w:basedOn w:val="2"/>
    <w:next w:val="2"/>
    <w:link w:val="22"/>
    <w:qFormat/>
    <w:rsid w:val="0084529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4529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4529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9B3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B303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B3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B303C"/>
    <w:rPr>
      <w:sz w:val="20"/>
      <w:szCs w:val="20"/>
    </w:rPr>
  </w:style>
  <w:style w:type="paragraph" w:customStyle="1" w:styleId="msonormal0">
    <w:name w:val="msonormal"/>
    <w:basedOn w:val="a"/>
    <w:rsid w:val="009B30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2025-03-06T05:48:00Z</dcterms:created>
  <dcterms:modified xsi:type="dcterms:W3CDTF">2025-03-11T08:57:00Z</dcterms:modified>
</cp:coreProperties>
</file>