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61C" w:rsidRPr="004928F7" w:rsidRDefault="00DF561C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54"/>
        <w:gridCol w:w="4863"/>
        <w:gridCol w:w="1153"/>
        <w:gridCol w:w="1042"/>
        <w:gridCol w:w="1296"/>
      </w:tblGrid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085C2C">
            <w:pPr>
              <w:pStyle w:val="31"/>
              <w:rPr>
                <w:b w:val="0"/>
              </w:rPr>
            </w:pPr>
            <w:bookmarkStart w:id="0" w:name="_Toc161926490"/>
            <w:r w:rsidRPr="004928F7">
              <w:rPr>
                <w:rStyle w:val="a3"/>
                <w:rFonts w:hint="eastAsia"/>
              </w:rPr>
              <w:t>1130-0</w:t>
            </w:r>
            <w:r w:rsidRPr="004928F7">
              <w:rPr>
                <w:rStyle w:val="a3"/>
              </w:rPr>
              <w:t>0</w:t>
            </w:r>
            <w:r w:rsidRPr="004928F7">
              <w:rPr>
                <w:rStyle w:val="a3"/>
                <w:rFonts w:hint="eastAsia"/>
              </w:rPr>
              <w:t>5-2</w:t>
            </w:r>
            <w:bookmarkStart w:id="1" w:name="財物管理作業B財產驗收作業"/>
            <w:r w:rsidRPr="004928F7">
              <w:rPr>
                <w:rStyle w:val="a3"/>
                <w:rFonts w:hint="eastAsia"/>
              </w:rPr>
              <w:t>財物管理作業-B.財產驗收作業</w:t>
            </w:r>
            <w:bookmarkEnd w:id="0"/>
            <w:bookmarkEnd w:id="1"/>
          </w:p>
        </w:tc>
        <w:tc>
          <w:tcPr>
            <w:tcW w:w="6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DF561C" w:rsidRPr="004928F7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DF561C" w:rsidRPr="004928F7" w:rsidRDefault="00DF561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流程圖。</w:t>
            </w:r>
          </w:p>
          <w:p w:rsidR="00DF561C" w:rsidRPr="004928F7" w:rsidRDefault="00DF561C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4928F7">
              <w:rPr>
                <w:rFonts w:ascii="標楷體" w:eastAsia="標楷體" w:hAnsi="標楷體" w:hint="eastAsia"/>
              </w:rPr>
              <w:t>作業程序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4928F7">
              <w:rPr>
                <w:rFonts w:ascii="標楷體" w:eastAsia="標楷體" w:hAnsi="標楷體" w:hint="eastAsia"/>
              </w:rPr>
              <w:t>2.1.3.、2.2.1.、2.3.1.。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DF561C" w:rsidRPr="004928F7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2.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DF561C" w:rsidRPr="004928F7" w:rsidRDefault="00DF561C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DF561C" w:rsidRPr="004928F7" w:rsidRDefault="00DF561C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（2）作業程序修改2.1.3.、2.3.3.。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4928F7" w:rsidRDefault="00DF561C" w:rsidP="007636A3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修訂原因：調高列管物品購置金額，修改作業辦法。</w:t>
            </w:r>
          </w:p>
          <w:p w:rsidR="00DF561C" w:rsidRPr="004928F7" w:rsidRDefault="00DF561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color w:val="000000" w:themeColor="text1"/>
              </w:rPr>
              <w:t>2.</w:t>
            </w:r>
            <w:r w:rsidRPr="004928F7">
              <w:rPr>
                <w:rFonts w:ascii="標楷體" w:eastAsia="標楷體" w:hAnsi="標楷體" w:hint="eastAsia"/>
                <w:color w:val="000000" w:themeColor="text1"/>
              </w:rPr>
              <w:t>修正處：作業程序修改</w:t>
            </w:r>
            <w:r w:rsidRPr="004928F7">
              <w:rPr>
                <w:rFonts w:ascii="標楷體" w:eastAsia="標楷體" w:hAnsi="標楷體" w:hint="eastAsia"/>
              </w:rPr>
              <w:t>2.1.3.。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561C" w:rsidRPr="004928F7" w:rsidTr="00275F46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1C" w:rsidRPr="00275F46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/>
              </w:rPr>
              <w:t>1.</w:t>
            </w:r>
            <w:r w:rsidRPr="00275F46">
              <w:rPr>
                <w:rFonts w:ascii="標楷體" w:eastAsia="標楷體" w:hAnsi="標楷體" w:hint="eastAsia"/>
              </w:rPr>
              <w:t>修訂原因：新增依據及相關文件。</w:t>
            </w:r>
          </w:p>
          <w:p w:rsidR="00DF561C" w:rsidRPr="00275F46" w:rsidRDefault="00DF561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/>
              </w:rPr>
              <w:t>2.</w:t>
            </w:r>
            <w:r w:rsidRPr="00275F46">
              <w:rPr>
                <w:rFonts w:ascii="標楷體" w:eastAsia="標楷體" w:hAnsi="標楷體" w:hint="eastAsia"/>
              </w:rPr>
              <w:t>修正處：依據及相關文件：新增5.2.佛光大學採購作業辦法。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75F46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DF561C" w:rsidRPr="004928F7" w:rsidRDefault="00DF561C" w:rsidP="00275F4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DF561C" w:rsidRPr="004928F7" w:rsidRDefault="00DF561C" w:rsidP="00275F4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F561C" w:rsidRPr="004928F7" w:rsidRDefault="00DF561C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5FEF2" wp14:editId="2C525B23">
                <wp:simplePos x="0" y="0"/>
                <wp:positionH relativeFrom="column">
                  <wp:posOffset>5271135</wp:posOffset>
                </wp:positionH>
                <wp:positionV relativeFrom="paragraph">
                  <wp:posOffset>19050</wp:posOffset>
                </wp:positionV>
                <wp:extent cx="904875" cy="323850"/>
                <wp:effectExtent l="0" t="0" r="0" b="0"/>
                <wp:wrapNone/>
                <wp:docPr id="497" name="文字方塊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561C" w:rsidRPr="006D7D73" w:rsidRDefault="00DF561C" w:rsidP="00FC2CE8">
                            <w:pPr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總務處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總務處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DF561C" w:rsidRDefault="00DF5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5FEF2" id="_x0000_t202" coordsize="21600,21600" o:spt="202" path="m,l,21600r21600,l21600,xe">
                <v:stroke joinstyle="miter"/>
                <v:path gradientshapeok="t" o:connecttype="rect"/>
              </v:shapetype>
              <v:shape id="文字方塊 497" o:spid="_x0000_s1026" type="#_x0000_t202" style="position:absolute;left:0;text-align:left;margin-left:415.05pt;margin-top:1.5pt;width:7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" filled="f" stroked="f" strokeweight=".5pt">
                <v:textbox>
                  <w:txbxContent>
                    <w:p w:rsidR="00DF561C" w:rsidRPr="006D7D73" w:rsidRDefault="00DF561C" w:rsidP="00FC2CE8">
                      <w:pPr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總務處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總務處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DF561C" w:rsidRDefault="00DF561C"/>
                  </w:txbxContent>
                </v:textbox>
              </v:shape>
            </w:pict>
          </mc:Fallback>
        </mc:AlternateContent>
      </w:r>
    </w:p>
    <w:p w:rsidR="00DF561C" w:rsidRPr="004928F7" w:rsidRDefault="00DF561C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23A8" wp14:editId="1E87CAFC">
                <wp:simplePos x="0" y="0"/>
                <wp:positionH relativeFrom="column">
                  <wp:posOffset>4270228</wp:posOffset>
                </wp:positionH>
                <wp:positionV relativeFrom="paragraph">
                  <wp:posOffset>2942176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61C" w:rsidRPr="00275F46" w:rsidRDefault="00DF561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.0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12</w:t>
                            </w:r>
                          </w:p>
                          <w:p w:rsidR="00DF561C" w:rsidRPr="00275F46" w:rsidRDefault="00DF561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23A8" id="文字方塊 16" o:spid="_x0000_s1027" type="#_x0000_t202" style="position:absolute;margin-left:336.25pt;margin-top:2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" filled="f" stroked="f">
                <v:textbox>
                  <w:txbxContent>
                    <w:p w:rsidR="00DF561C" w:rsidRPr="00275F46" w:rsidRDefault="00DF561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.0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12</w:t>
                      </w:r>
                    </w:p>
                    <w:p w:rsidR="00DF561C" w:rsidRPr="00275F46" w:rsidRDefault="00DF561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DF561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F561C" w:rsidRPr="004928F7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F561C" w:rsidRPr="004928F7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4928F7" w:rsidRDefault="00DF561C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DF561C" w:rsidRPr="004928F7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DF561C" w:rsidRPr="002C2AD9" w:rsidRDefault="00DF561C" w:rsidP="007636A3">
      <w:pPr>
        <w:autoSpaceDE w:val="0"/>
        <w:autoSpaceDN w:val="0"/>
        <w:jc w:val="both"/>
      </w:pPr>
      <w:r w:rsidRPr="004928F7">
        <w:object w:dxaOrig="7171" w:dyaOrig="1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24.95pt" o:ole="">
            <v:imagedata r:id="rId5" o:title=""/>
          </v:shape>
          <o:OLEObject Type="Embed" ProgID="Visio.Drawing.11" ShapeID="_x0000_i1025" DrawAspect="Content" ObjectID="_1773572105" r:id="rId6"/>
        </w:object>
      </w:r>
      <w:r w:rsidRPr="004928F7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DF561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F561C" w:rsidRPr="004928F7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F561C" w:rsidRPr="004928F7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275F46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4928F7" w:rsidRDefault="00DF561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DF561C" w:rsidRPr="004928F7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DF561C" w:rsidRPr="004928F7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所稱財</w:t>
      </w:r>
      <w:r w:rsidRPr="004928F7">
        <w:rPr>
          <w:rFonts w:ascii="標楷體" w:eastAsia="標楷體" w:hAnsi="標楷體" w:hint="eastAsia"/>
        </w:rPr>
        <w:t>物，係指下列二類：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2.1.2.圖書館典藏之分類圖書依有關規定辦理。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2.1.3.列管物品：係指不屬於前述財產且購置單四千元（含）以上，一萬元以下之設備、用具。</w:t>
      </w:r>
    </w:p>
    <w:p w:rsidR="00DF561C" w:rsidRPr="004928F7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財產管理權責劃分：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2.2.1.財物登記管理單位：事務組--負責全校財物驗收、分類編號、登記與管理工作，包括財物之異動、盤點、報廢、損失處理等相關事宜。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2.2.2.財物使用管理單位：各單位</w:t>
      </w:r>
      <w:r>
        <w:rPr>
          <w:rFonts w:ascii="標楷體" w:eastAsia="標楷體" w:hAnsi="標楷體"/>
        </w:rPr>
        <w:t>-</w:t>
      </w:r>
      <w:r w:rsidRPr="004928F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DF561C" w:rsidRPr="004928F7" w:rsidRDefault="00DF561C" w:rsidP="00DF561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財產驗收：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1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財物、勞務及工程驗收時，由總務處事務組人員主驗，會同接管或使用單位人員會驗，並由會計室派員監驗。承辦採購之人員不得為所辦採購之主驗人或樣品及材料之檢驗人。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</w:t>
      </w:r>
      <w:r w:rsidRPr="004928F7">
        <w:rPr>
          <w:rFonts w:ascii="標楷體" w:eastAsia="標楷體" w:hAnsi="標楷體"/>
        </w:rPr>
        <w:t>.2</w:t>
      </w:r>
      <w:r w:rsidRPr="004928F7">
        <w:rPr>
          <w:rFonts w:ascii="標楷體" w:eastAsia="標楷體" w:hAnsi="標楷體" w:hint="eastAsia"/>
        </w:rPr>
        <w:t>.財物及勞務採購金額在壹拾萬元以上者，驗收過程應詳細記載於「驗收記錄」中，驗收完成後若屬列管財物者，應填具「財產驗收單」。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2.3.3.工程採購金額在參萬</w:t>
      </w:r>
      <w:r w:rsidRPr="004928F7">
        <w:rPr>
          <w:rFonts w:ascii="標楷體" w:eastAsia="標楷體" w:hAnsi="標楷體" w:hint="eastAsia"/>
          <w:color w:val="000000" w:themeColor="text1"/>
        </w:rPr>
        <w:t>元</w:t>
      </w:r>
      <w:r w:rsidRPr="004928F7">
        <w:rPr>
          <w:rFonts w:ascii="標楷體" w:eastAsia="標楷體" w:hAnsi="標楷體" w:hint="eastAsia"/>
        </w:rPr>
        <w:t>以上者，驗收過程應詳細記載於「驗收記錄」中，由參加人員會同簽認。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2.3.4.驗收時如發現規格、數量、品質與規定不符，應要求廠商補換或重製，在未改善前不予付款。</w:t>
      </w:r>
    </w:p>
    <w:p w:rsidR="00DF561C" w:rsidRPr="004928F7" w:rsidRDefault="00DF561C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2.3.5.驗收結果與規格不符，而不妨礙安全及使用需求，亦無減少通用效用或契約預定效用，經檢討不必拆換或拆換確有困難者，得於必要時減價收受。</w:t>
      </w:r>
    </w:p>
    <w:p w:rsidR="00DF561C" w:rsidRPr="004928F7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DF561C" w:rsidRPr="004928F7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DF561C" w:rsidRPr="004928F7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財產登錄是否明確。</w:t>
      </w:r>
    </w:p>
    <w:p w:rsidR="00DF561C" w:rsidRPr="004928F7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發生應</w:t>
      </w:r>
      <w:r w:rsidRPr="004928F7">
        <w:rPr>
          <w:rFonts w:ascii="標楷體" w:eastAsia="標楷體" w:hAnsi="標楷體"/>
        </w:rPr>
        <w:t>辦理產籍登錄</w:t>
      </w:r>
      <w:r w:rsidRPr="004928F7">
        <w:rPr>
          <w:rFonts w:ascii="標楷體" w:eastAsia="標楷體" w:hAnsi="標楷體" w:hint="eastAsia"/>
        </w:rPr>
        <w:t>時機，是否確實登錄。</w:t>
      </w:r>
    </w:p>
    <w:p w:rsidR="00DF561C" w:rsidRPr="004928F7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DF561C" w:rsidRPr="004928F7" w:rsidRDefault="00DF561C" w:rsidP="00DF561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本校財產增加，是否填寫「財產驗收單</w:t>
      </w:r>
      <w:r w:rsidRPr="004928F7">
        <w:rPr>
          <w:rFonts w:ascii="標楷體" w:eastAsia="標楷體" w:hAnsi="標楷體"/>
        </w:rPr>
        <w:t>」</w:t>
      </w:r>
      <w:r w:rsidRPr="004928F7">
        <w:rPr>
          <w:rFonts w:ascii="標楷體" w:eastAsia="標楷體" w:hAnsi="標楷體" w:hint="eastAsia"/>
        </w:rPr>
        <w:t>，並完成驗收。</w:t>
      </w:r>
    </w:p>
    <w:p w:rsidR="00DF561C" w:rsidRPr="004928F7" w:rsidRDefault="00DF561C" w:rsidP="00DF561C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異動前之手續是否完備。</w:t>
      </w:r>
    </w:p>
    <w:p w:rsidR="00DF561C" w:rsidRPr="004928F7" w:rsidRDefault="00DF561C" w:rsidP="008E63EE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5"/>
        <w:gridCol w:w="1216"/>
        <w:gridCol w:w="1289"/>
        <w:gridCol w:w="1020"/>
      </w:tblGrid>
      <w:tr w:rsidR="00DF561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F561C" w:rsidRPr="004928F7" w:rsidTr="007636A3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F561C" w:rsidRPr="004928F7" w:rsidTr="007636A3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DF561C" w:rsidRPr="00275F46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75F46">
              <w:rPr>
                <w:rFonts w:ascii="標楷體" w:eastAsia="標楷體" w:hAnsi="標楷體" w:hint="eastAsia"/>
                <w:sz w:val="20"/>
              </w:rPr>
              <w:t>05</w:t>
            </w:r>
            <w:r w:rsidRPr="00275F46">
              <w:rPr>
                <w:rFonts w:ascii="標楷體" w:eastAsia="標楷體" w:hAnsi="標楷體"/>
                <w:sz w:val="20"/>
              </w:rPr>
              <w:t>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</w:t>
            </w:r>
            <w:r w:rsidRPr="00275F46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DF561C" w:rsidRPr="004928F7" w:rsidRDefault="00DF561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DF561C" w:rsidRPr="004928F7" w:rsidRDefault="00DF561C" w:rsidP="007636A3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</w:p>
    <w:p w:rsidR="00DF561C" w:rsidRPr="004928F7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DF561C" w:rsidRPr="004928F7" w:rsidRDefault="00DF561C" w:rsidP="00DF561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財產驗收單。</w:t>
      </w:r>
    </w:p>
    <w:p w:rsidR="00DF561C" w:rsidRPr="004928F7" w:rsidRDefault="00DF561C" w:rsidP="00DF561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驗收紀錄。</w:t>
      </w:r>
    </w:p>
    <w:p w:rsidR="00DF561C" w:rsidRPr="004928F7" w:rsidRDefault="00DF561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DF561C" w:rsidRPr="004928F7" w:rsidRDefault="00DF561C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5.1.佛光大學財物管理辦法。</w:t>
      </w:r>
    </w:p>
    <w:p w:rsidR="00DF561C" w:rsidRPr="00275F46" w:rsidRDefault="00DF561C" w:rsidP="00275F4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5F46">
        <w:rPr>
          <w:rFonts w:ascii="標楷體" w:eastAsia="標楷體" w:hAnsi="標楷體" w:hint="eastAsia"/>
        </w:rPr>
        <w:t>5.2.佛光大學採購作業辦法。</w:t>
      </w:r>
    </w:p>
    <w:p w:rsidR="00DF561C" w:rsidRPr="004928F7" w:rsidRDefault="00DF561C">
      <w:r w:rsidRPr="004928F7">
        <w:br w:type="page"/>
      </w:r>
    </w:p>
    <w:p w:rsidR="00DF561C" w:rsidRDefault="00DF561C" w:rsidP="0085369D">
      <w:pPr>
        <w:sectPr w:rsidR="00DF561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DF561C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1C"/>
    <w:rsid w:val="00D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6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61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56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DF561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F561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F561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F561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