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DB3" w:rsidRPr="004928F7" w:rsidRDefault="00275DB3" w:rsidP="00112781">
      <w:pPr>
        <w:pStyle w:val="3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</w:rPr>
        <w:t>佛光大學內部控制文件制訂</w:t>
      </w:r>
      <w:r w:rsidRPr="004928F7">
        <w:rPr>
          <w:rFonts w:ascii="標楷體" w:eastAsia="標楷體" w:hAnsi="標楷體"/>
        </w:rPr>
        <w:t>/</w:t>
      </w:r>
      <w:r w:rsidRPr="004928F7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00"/>
        <w:gridCol w:w="1278"/>
        <w:gridCol w:w="1140"/>
        <w:gridCol w:w="1141"/>
      </w:tblGrid>
      <w:tr w:rsidR="00275DB3" w:rsidRPr="004928F7" w:rsidTr="006273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928F7" w:rsidRDefault="00275DB3" w:rsidP="00627306">
            <w:pPr>
              <w:pStyle w:val="31"/>
            </w:pPr>
            <w:hyperlink w:anchor="人事室" w:history="1">
              <w:bookmarkStart w:id="0" w:name="_Toc92798236"/>
              <w:bookmarkStart w:id="1" w:name="_Toc99130247"/>
              <w:bookmarkStart w:id="2" w:name="_Toc161926600"/>
              <w:r w:rsidRPr="004928F7">
                <w:rPr>
                  <w:rStyle w:val="a3"/>
                  <w:rFonts w:hint="eastAsia"/>
                </w:rPr>
                <w:t>1160-005</w:t>
              </w:r>
              <w:bookmarkStart w:id="3" w:name="獎懲"/>
              <w:r w:rsidRPr="004928F7">
                <w:rPr>
                  <w:rStyle w:val="a3"/>
                  <w:rFonts w:hint="eastAsia"/>
                </w:rPr>
                <w:t>獎懲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275DB3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75DB3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B3" w:rsidRPr="004928F7" w:rsidRDefault="00275DB3" w:rsidP="00627306">
            <w:pPr>
              <w:tabs>
                <w:tab w:val="left" w:pos="3885"/>
              </w:tabs>
              <w:spacing w:line="0" w:lineRule="atLeast"/>
              <w:rPr>
                <w:rFonts w:ascii="標楷體" w:eastAsia="標楷體" w:hAnsi="標楷體"/>
              </w:rPr>
            </w:pPr>
          </w:p>
          <w:p w:rsidR="00275DB3" w:rsidRPr="004928F7" w:rsidRDefault="00275DB3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275DB3" w:rsidRPr="004928F7" w:rsidRDefault="00275DB3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5DB3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B3" w:rsidRPr="004928F7" w:rsidRDefault="00275DB3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1.修正原因：文字補正。</w:t>
            </w:r>
          </w:p>
          <w:p w:rsidR="00275DB3" w:rsidRPr="004928F7" w:rsidRDefault="00275DB3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2.修改處：</w:t>
            </w:r>
          </w:p>
          <w:p w:rsidR="00275DB3" w:rsidRPr="004928F7" w:rsidRDefault="00275DB3" w:rsidP="0062730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（1）作業程序2.2.、2.4.及2.6.。</w:t>
            </w:r>
          </w:p>
          <w:p w:rsidR="00275DB3" w:rsidRPr="004928F7" w:rsidRDefault="00275DB3" w:rsidP="0062730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（2）依據及相關文件5.1.。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5DB3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B3" w:rsidRPr="004928F7" w:rsidRDefault="00275DB3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1.修訂原因：配合新版內控格式修正流程圖，及文字補正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75DB3" w:rsidRPr="004928F7" w:rsidRDefault="00275DB3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275DB3" w:rsidRPr="004928F7" w:rsidRDefault="00275DB3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275DB3" w:rsidRPr="004928F7" w:rsidRDefault="00275DB3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（2）作業程序修改2.1.。</w:t>
            </w:r>
          </w:p>
          <w:p w:rsidR="00275DB3" w:rsidRPr="004928F7" w:rsidRDefault="00275DB3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（3）控制重點修改3.1.及3.2.。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75DB3" w:rsidRDefault="00275DB3" w:rsidP="006A3018">
      <w:pPr>
        <w:jc w:val="right"/>
        <w:rPr>
          <w:rStyle w:val="a3"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275DB3" w:rsidRPr="004928F7" w:rsidRDefault="00275DB3" w:rsidP="006A3018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ECE3D" wp14:editId="746AEC7F">
                <wp:simplePos x="0" y="0"/>
                <wp:positionH relativeFrom="column">
                  <wp:posOffset>4277360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8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DB3" w:rsidRPr="00624CD7" w:rsidRDefault="00275DB3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24CD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275DB3" w:rsidRPr="00624CD7" w:rsidRDefault="00275DB3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24CD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ECE3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6.8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" fillcolor="white [3201]" stroked="f" strokeweight="1pt">
                <v:textbox>
                  <w:txbxContent>
                    <w:p w:rsidR="00275DB3" w:rsidRPr="00624CD7" w:rsidRDefault="00275DB3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24CD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275DB3" w:rsidRPr="00624CD7" w:rsidRDefault="00275DB3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24CD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1824"/>
        <w:gridCol w:w="1236"/>
        <w:gridCol w:w="1289"/>
        <w:gridCol w:w="904"/>
      </w:tblGrid>
      <w:tr w:rsidR="00275DB3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75DB3" w:rsidRPr="004928F7" w:rsidTr="00627306">
        <w:trPr>
          <w:jc w:val="center"/>
        </w:trPr>
        <w:tc>
          <w:tcPr>
            <w:tcW w:w="231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463" w:type="pct"/>
            <w:tcBorders>
              <w:right w:val="single" w:sz="1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75DB3" w:rsidRPr="004928F7" w:rsidTr="00627306">
        <w:trPr>
          <w:trHeight w:val="663"/>
          <w:jc w:val="center"/>
        </w:trPr>
        <w:tc>
          <w:tcPr>
            <w:tcW w:w="231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獎懲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46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75DB3" w:rsidRPr="004928F7" w:rsidRDefault="00275DB3" w:rsidP="00627306">
      <w:pPr>
        <w:tabs>
          <w:tab w:val="num" w:pos="480"/>
        </w:tabs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275DB3" w:rsidRPr="004928F7" w:rsidRDefault="00275DB3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275DB3" w:rsidRPr="004928F7" w:rsidRDefault="00275DB3" w:rsidP="00FB1B9C">
      <w:pPr>
        <w:widowControl/>
        <w:ind w:leftChars="-59" w:hangingChars="59" w:hanging="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625" w:dyaOrig="8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490.5pt" o:ole="">
            <v:imagedata r:id="rId5" o:title=""/>
          </v:shape>
          <o:OLEObject Type="Embed" ProgID="Visio.Drawing.11" ShapeID="_x0000_i1025" DrawAspect="Content" ObjectID="_1773578311" r:id="rId6"/>
        </w:object>
      </w:r>
    </w:p>
    <w:p w:rsidR="00275DB3" w:rsidRPr="004928F7" w:rsidRDefault="00275DB3" w:rsidP="00FB1B9C">
      <w:pPr>
        <w:widowControl/>
        <w:ind w:leftChars="-59" w:hangingChars="59" w:hanging="142"/>
        <w:rPr>
          <w:rFonts w:ascii="標楷體" w:eastAsia="標楷體" w:hAnsi="標楷體"/>
        </w:rPr>
      </w:pPr>
    </w:p>
    <w:p w:rsidR="00275DB3" w:rsidRPr="004928F7" w:rsidRDefault="00275DB3" w:rsidP="00FB1B9C">
      <w:pPr>
        <w:widowControl/>
        <w:ind w:leftChars="-59" w:hangingChars="59" w:hanging="142"/>
        <w:rPr>
          <w:rFonts w:ascii="標楷體" w:eastAsia="標楷體" w:hAnsi="標楷體"/>
        </w:rPr>
      </w:pPr>
    </w:p>
    <w:p w:rsidR="00275DB3" w:rsidRPr="004928F7" w:rsidRDefault="00275DB3" w:rsidP="00FB1B9C">
      <w:pPr>
        <w:widowControl/>
        <w:ind w:leftChars="-59" w:hangingChars="59" w:hanging="142"/>
        <w:rPr>
          <w:rFonts w:ascii="標楷體" w:eastAsia="標楷體" w:hAnsi="標楷體"/>
        </w:rPr>
      </w:pPr>
    </w:p>
    <w:p w:rsidR="00275DB3" w:rsidRPr="004928F7" w:rsidRDefault="00275DB3" w:rsidP="00FB1B9C">
      <w:pPr>
        <w:widowControl/>
        <w:ind w:leftChars="-59" w:hangingChars="59" w:hanging="142"/>
        <w:rPr>
          <w:rFonts w:ascii="標楷體" w:eastAsia="標楷體" w:hAnsi="標楷體"/>
        </w:rPr>
      </w:pPr>
    </w:p>
    <w:p w:rsidR="00275DB3" w:rsidRPr="004928F7" w:rsidRDefault="00275DB3" w:rsidP="00C547AA">
      <w:pPr>
        <w:widowControl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1824"/>
        <w:gridCol w:w="1236"/>
        <w:gridCol w:w="1289"/>
        <w:gridCol w:w="900"/>
      </w:tblGrid>
      <w:tr w:rsidR="00275DB3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</w:rPr>
              <w:br w:type="page"/>
            </w:r>
            <w:r w:rsidRPr="004928F7">
              <w:rPr>
                <w:rFonts w:ascii="標楷體" w:eastAsia="標楷體" w:hAnsi="標楷體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75DB3" w:rsidRPr="004928F7" w:rsidTr="00627306">
        <w:trPr>
          <w:jc w:val="center"/>
        </w:trPr>
        <w:tc>
          <w:tcPr>
            <w:tcW w:w="231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461" w:type="pct"/>
            <w:tcBorders>
              <w:right w:val="single" w:sz="1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75DB3" w:rsidRPr="004928F7" w:rsidTr="00627306">
        <w:trPr>
          <w:trHeight w:val="663"/>
          <w:jc w:val="center"/>
        </w:trPr>
        <w:tc>
          <w:tcPr>
            <w:tcW w:w="231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獎懲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46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275DB3" w:rsidRPr="004928F7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75DB3" w:rsidRPr="004928F7" w:rsidRDefault="00275DB3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275DB3" w:rsidRPr="004928F7" w:rsidRDefault="00275DB3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275DB3" w:rsidRPr="004928F7" w:rsidRDefault="00275DB3" w:rsidP="00275D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本校各單位對所屬行政人員特殊優劣事蹟，應本名副其實予以適當之獎懲，以激發團隊精神，提高工作效率。</w:t>
      </w:r>
    </w:p>
    <w:p w:rsidR="00275DB3" w:rsidRPr="004928F7" w:rsidRDefault="00275DB3" w:rsidP="00275D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本校對職技員工有本校「行政人員獎懲辦法」所規定情形之一，具體事實足資證明者，應予以獎懲。</w:t>
      </w:r>
    </w:p>
    <w:p w:rsidR="00275DB3" w:rsidRPr="004928F7" w:rsidRDefault="00275DB3" w:rsidP="00275D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獎懲原則如下：</w:t>
      </w:r>
    </w:p>
    <w:p w:rsidR="00275DB3" w:rsidRPr="004928F7" w:rsidRDefault="00275DB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2.3.1.辦理本職業務，除屬特殊創意、簡化流程等績效卓著或有具體貢獻者外，經常性、例行性業務，不予敘獎。</w:t>
      </w:r>
    </w:p>
    <w:p w:rsidR="00275DB3" w:rsidRPr="004928F7" w:rsidRDefault="00275DB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2.3.2.辦理本職以外之工作，已領取津貼、加班費，補休或工作酬勞等，基於獎勵不重複原則，除具特殊優良功蹟者外，不予敘獎。</w:t>
      </w:r>
    </w:p>
    <w:p w:rsidR="00275DB3" w:rsidRPr="004928F7" w:rsidRDefault="00275DB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2.3.3.參加任何比賽，如獲有獎金者，即不再予以獎勵。</w:t>
      </w:r>
    </w:p>
    <w:p w:rsidR="00275DB3" w:rsidRPr="004928F7" w:rsidRDefault="00275DB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2.3.4.同一獎懲事項、應俟全部完成後，視實際績效依規定辦理獎懲，且不得重複。</w:t>
      </w:r>
    </w:p>
    <w:p w:rsidR="00275DB3" w:rsidRPr="004928F7" w:rsidRDefault="00275DB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2.3.5.校外單位建議敘獎案，由本校衡酌辦理。</w:t>
      </w:r>
    </w:p>
    <w:p w:rsidR="00275DB3" w:rsidRPr="004928F7" w:rsidRDefault="00275DB3" w:rsidP="00275D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為使獎不逾時、懲不事後，合於獎懲案件原則應於事實發生後二個月內提出申請。</w:t>
      </w:r>
    </w:p>
    <w:p w:rsidR="00275DB3" w:rsidRPr="004928F7" w:rsidRDefault="00275DB3" w:rsidP="00275D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各單位簽報獎懲案件時，應填寫獎懲建議表，詳敘優劣具體事蹟，或檢附相關證明文件，簽陳校長核定發布，重大案件（記大功及大過以上）之獎懲需提人事評議委員會審議，校長對審議結果如有不同意見時，得請再議。</w:t>
      </w:r>
    </w:p>
    <w:p w:rsidR="00275DB3" w:rsidRPr="004928F7" w:rsidRDefault="00275DB3" w:rsidP="00275D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對本校職工擬予懲處時，應由人事室事先書面通知當事人如有異議得於十日內提出書面說明，以併同核議。</w:t>
      </w:r>
    </w:p>
    <w:p w:rsidR="00275DB3" w:rsidRPr="004928F7" w:rsidRDefault="00275DB3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275DB3" w:rsidRPr="004928F7" w:rsidRDefault="00275DB3" w:rsidP="00275DB3">
      <w:pPr>
        <w:numPr>
          <w:ilvl w:val="1"/>
          <w:numId w:val="3"/>
        </w:numPr>
        <w:tabs>
          <w:tab w:val="clear" w:pos="1080"/>
          <w:tab w:val="left" w:pos="960"/>
          <w:tab w:val="num" w:pos="270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行政人員之獎懲事宜是否由提案單位主管填具「獎懲建議表」，並檢附具體事實以資證明？</w:t>
      </w:r>
    </w:p>
    <w:p w:rsidR="00275DB3" w:rsidRPr="004928F7" w:rsidRDefault="00275DB3" w:rsidP="00275DB3">
      <w:pPr>
        <w:numPr>
          <w:ilvl w:val="1"/>
          <w:numId w:val="3"/>
        </w:numPr>
        <w:tabs>
          <w:tab w:val="clear" w:pos="1080"/>
          <w:tab w:val="left" w:pos="960"/>
          <w:tab w:val="num" w:pos="270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行政人員獎懲是否依獎懲程度不同經依規定程序審核通過，並報請校長核定？</w:t>
      </w:r>
    </w:p>
    <w:p w:rsidR="00275DB3" w:rsidRPr="004928F7" w:rsidRDefault="00275DB3" w:rsidP="00275DB3">
      <w:pPr>
        <w:numPr>
          <w:ilvl w:val="1"/>
          <w:numId w:val="3"/>
        </w:numPr>
        <w:tabs>
          <w:tab w:val="clear" w:pos="1080"/>
          <w:tab w:val="left" w:pos="960"/>
          <w:tab w:val="num" w:pos="270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當事人對獎懲內容有異議提起申覆或對申覆結果不服提出申訴者，是否依規定受理？</w:t>
      </w:r>
    </w:p>
    <w:p w:rsidR="00275DB3" w:rsidRPr="004928F7" w:rsidRDefault="00275DB3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275DB3" w:rsidRPr="004928F7" w:rsidRDefault="00275DB3" w:rsidP="00275DB3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獎懲建議表。</w:t>
      </w:r>
    </w:p>
    <w:p w:rsidR="00275DB3" w:rsidRPr="004928F7" w:rsidRDefault="00275DB3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275DB3" w:rsidRPr="004928F7" w:rsidRDefault="00275DB3" w:rsidP="00275DB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佛光大學行政人員獎懲辦法。</w:t>
      </w:r>
    </w:p>
    <w:p w:rsidR="00275DB3" w:rsidRPr="004928F7" w:rsidRDefault="00275DB3" w:rsidP="00627306">
      <w:pPr>
        <w:rPr>
          <w:rFonts w:ascii="標楷體" w:eastAsia="標楷體" w:hAnsi="標楷體"/>
        </w:rPr>
      </w:pPr>
    </w:p>
    <w:p w:rsidR="00275DB3" w:rsidRPr="004928F7" w:rsidRDefault="00275DB3" w:rsidP="001756CB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275DB3" w:rsidRDefault="00275DB3" w:rsidP="00112781">
      <w:pPr>
        <w:sectPr w:rsidR="00275DB3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492578" w:rsidRDefault="00492578"/>
    <w:sectPr w:rsidR="004925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D3E44"/>
    <w:multiLevelType w:val="multilevel"/>
    <w:tmpl w:val="C8FC1C1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429108F4"/>
    <w:multiLevelType w:val="multilevel"/>
    <w:tmpl w:val="70AE3F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C237DEC"/>
    <w:multiLevelType w:val="multilevel"/>
    <w:tmpl w:val="ADF4F34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69B20F3D"/>
    <w:multiLevelType w:val="multilevel"/>
    <w:tmpl w:val="791ED85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B3"/>
    <w:rsid w:val="00275DB3"/>
    <w:rsid w:val="0049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275DB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275DB3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275DB3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75DB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75DB3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2024-04-02T06:57:00Z</dcterms:created>
</cp:coreProperties>
</file>