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2BE" w:rsidRPr="0032366C" w:rsidRDefault="00FF12BE" w:rsidP="00880E96">
      <w:pPr>
        <w:pStyle w:val="31"/>
        <w:jc w:val="center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人事室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</w:p>
    <w:p w:rsidR="00FF12BE" w:rsidRPr="0032366C" w:rsidRDefault="00FF12BE" w:rsidP="00880E96">
      <w:pPr>
        <w:ind w:left="840" w:hangingChars="350" w:hanging="840"/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55"/>
        <w:gridCol w:w="993"/>
        <w:gridCol w:w="2915"/>
        <w:gridCol w:w="2294"/>
        <w:gridCol w:w="715"/>
        <w:gridCol w:w="715"/>
        <w:gridCol w:w="715"/>
      </w:tblGrid>
      <w:tr w:rsidR="00FF12BE" w:rsidRPr="0032366C" w:rsidTr="00FD5960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人事室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出勤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出勤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1160-004-1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1160-004-2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1160-004-3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教職員學位進修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退休、撫卹及資遣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退休、撫卹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1160-007-2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退休、撫卹及資遣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1160-008-1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聘僱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1160-008-2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聘僱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1160-009-1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敘薪、待遇及薪資發放作業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1160-009-2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敘薪、待遇及薪資發放作業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1160-010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教師休假研究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升等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升等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外送教育訓練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1160-013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留職停薪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21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1160-014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教師申訴評議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</w:tr>
    </w:tbl>
    <w:p w:rsidR="00FF12BE" w:rsidRPr="0032366C" w:rsidRDefault="00FF12BE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FF12BE" w:rsidRPr="0032366C" w:rsidRDefault="00FF12BE" w:rsidP="00880E96">
      <w:pPr>
        <w:jc w:val="right"/>
        <w:rPr>
          <w:rFonts w:ascii="Times New Roman" w:eastAsia="標楷體" w:hAnsi="Times New Roman" w:cs="Times New Roman"/>
          <w:sz w:val="56"/>
          <w:szCs w:val="56"/>
        </w:rPr>
      </w:pPr>
    </w:p>
    <w:p w:rsidR="00FF12BE" w:rsidRPr="005E6593" w:rsidRDefault="00FF12BE" w:rsidP="00880E96">
      <w:pPr>
        <w:jc w:val="righ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 w:val="56"/>
          <w:szCs w:val="56"/>
        </w:rPr>
        <w:br w:type="page"/>
      </w:r>
    </w:p>
    <w:p w:rsidR="00FF12BE" w:rsidRDefault="00FF12BE" w:rsidP="00C458E3">
      <w:pPr>
        <w:sectPr w:rsidR="00FF12B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E02AB" w:rsidRDefault="000E02AB"/>
    <w:sectPr w:rsidR="000E02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E"/>
    <w:rsid w:val="000E02AB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2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2B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F12B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F12B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F12B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2024-03-28T07:04:00Z</dcterms:created>
</cp:coreProperties>
</file>