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3C22" w:rsidRPr="004928F7" w:rsidRDefault="00B43C22" w:rsidP="00B54D50">
      <w:pPr>
        <w:pStyle w:val="2"/>
        <w:rPr>
          <w:rFonts w:ascii="標楷體" w:eastAsia="標楷體" w:hAnsi="標楷體"/>
          <w:b w:val="0"/>
          <w:sz w:val="28"/>
          <w:szCs w:val="28"/>
        </w:rPr>
      </w:pPr>
      <w:r w:rsidRPr="004928F7">
        <w:rPr>
          <w:rFonts w:ascii="標楷體" w:eastAsia="標楷體" w:hAnsi="標楷體" w:hint="eastAsia"/>
          <w:sz w:val="36"/>
          <w:szCs w:val="36"/>
        </w:rPr>
        <w:t>佛光大學內部控制文件制訂</w:t>
      </w:r>
      <w:r w:rsidRPr="004928F7">
        <w:rPr>
          <w:rFonts w:ascii="標楷體" w:eastAsia="標楷體" w:hAnsi="標楷體"/>
          <w:sz w:val="36"/>
          <w:szCs w:val="36"/>
        </w:rPr>
        <w:t>/</w:t>
      </w:r>
      <w:r w:rsidRPr="004928F7">
        <w:rPr>
          <w:rFonts w:ascii="標楷體" w:eastAsia="標楷體" w:hAnsi="標楷體"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404"/>
        <w:gridCol w:w="4251"/>
        <w:gridCol w:w="1134"/>
        <w:gridCol w:w="1134"/>
        <w:gridCol w:w="1685"/>
      </w:tblGrid>
      <w:tr w:rsidR="00B43C22" w:rsidRPr="004928F7" w:rsidTr="0004216C">
        <w:trPr>
          <w:jc w:val="center"/>
        </w:trPr>
        <w:tc>
          <w:tcPr>
            <w:tcW w:w="731" w:type="pct"/>
            <w:tcBorders>
              <w:top w:val="single" w:sz="12" w:space="0" w:color="auto"/>
              <w:left w:val="single" w:sz="12"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文件編號與名稱</w:t>
            </w:r>
          </w:p>
        </w:tc>
        <w:tc>
          <w:tcPr>
            <w:tcW w:w="2212" w:type="pct"/>
            <w:tcBorders>
              <w:top w:val="single" w:sz="12" w:space="0" w:color="auto"/>
              <w:left w:val="single" w:sz="6" w:space="0" w:color="auto"/>
              <w:bottom w:val="single" w:sz="6" w:space="0" w:color="auto"/>
              <w:right w:val="single" w:sz="6" w:space="0" w:color="auto"/>
            </w:tcBorders>
            <w:vAlign w:val="center"/>
          </w:tcPr>
          <w:p w:rsidR="00B43C22" w:rsidRPr="004928F7" w:rsidRDefault="00B43C22" w:rsidP="005327FC">
            <w:pPr>
              <w:pStyle w:val="31"/>
              <w:rPr>
                <w:rFonts w:ascii="Times New Roman" w:hAnsi="Times New Roman" w:cs="Times New Roman"/>
              </w:rPr>
            </w:pPr>
            <w:bookmarkStart w:id="0" w:name="因應突發情況的交流作業流程"/>
            <w:bookmarkStart w:id="1" w:name="_Toc161926546"/>
            <w:r w:rsidRPr="004928F7">
              <w:rPr>
                <w:rStyle w:val="a3"/>
                <w:rFonts w:hint="eastAsia"/>
              </w:rPr>
              <w:t>1250-007因應突發情況的交流作業流程</w:t>
            </w:r>
            <w:bookmarkEnd w:id="0"/>
            <w:bookmarkEnd w:id="1"/>
          </w:p>
        </w:tc>
        <w:tc>
          <w:tcPr>
            <w:tcW w:w="590" w:type="pct"/>
            <w:tcBorders>
              <w:top w:val="single" w:sz="12" w:space="0" w:color="auto"/>
              <w:left w:val="single" w:sz="6"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單位</w:t>
            </w:r>
          </w:p>
        </w:tc>
        <w:tc>
          <w:tcPr>
            <w:tcW w:w="1467" w:type="pct"/>
            <w:gridSpan w:val="2"/>
            <w:tcBorders>
              <w:top w:val="single" w:sz="12" w:space="0" w:color="auto"/>
              <w:left w:val="single" w:sz="6" w:space="0" w:color="auto"/>
              <w:bottom w:val="single" w:sz="6" w:space="0" w:color="auto"/>
              <w:right w:val="single" w:sz="12" w:space="0" w:color="auto"/>
            </w:tcBorders>
            <w:vAlign w:val="center"/>
          </w:tcPr>
          <w:p w:rsidR="00B43C22" w:rsidRPr="004928F7" w:rsidRDefault="00B43C22" w:rsidP="005327FC">
            <w:pPr>
              <w:spacing w:line="0" w:lineRule="atLeast"/>
              <w:jc w:val="both"/>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國際暨兩岸事務處</w:t>
            </w:r>
          </w:p>
        </w:tc>
      </w:tr>
      <w:tr w:rsidR="00B43C22" w:rsidRPr="004928F7" w:rsidTr="0004216C">
        <w:trPr>
          <w:jc w:val="center"/>
        </w:trPr>
        <w:tc>
          <w:tcPr>
            <w:tcW w:w="731" w:type="pct"/>
            <w:tcBorders>
              <w:top w:val="single" w:sz="6" w:space="0" w:color="auto"/>
              <w:left w:val="single" w:sz="12"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版次</w:t>
            </w:r>
          </w:p>
        </w:tc>
        <w:tc>
          <w:tcPr>
            <w:tcW w:w="2212" w:type="pct"/>
            <w:tcBorders>
              <w:top w:val="single" w:sz="6" w:space="0" w:color="auto"/>
              <w:left w:val="single" w:sz="6"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文件制訂</w:t>
            </w:r>
            <w:r w:rsidRPr="004928F7">
              <w:rPr>
                <w:rFonts w:ascii="Times New Roman" w:eastAsia="標楷體" w:hAnsi="Times New Roman" w:cs="Times New Roman"/>
                <w:b/>
                <w:sz w:val="28"/>
                <w:szCs w:val="28"/>
              </w:rPr>
              <w:t>/</w:t>
            </w:r>
            <w:r w:rsidRPr="004928F7">
              <w:rPr>
                <w:rFonts w:ascii="Times New Roman" w:eastAsia="標楷體" w:hAnsi="Times New Roman" w:cs="Times New Roman"/>
                <w:b/>
                <w:sz w:val="28"/>
                <w:szCs w:val="28"/>
              </w:rPr>
              <w:t>修訂內容</w:t>
            </w:r>
          </w:p>
        </w:tc>
        <w:tc>
          <w:tcPr>
            <w:tcW w:w="590" w:type="pct"/>
            <w:tcBorders>
              <w:top w:val="single" w:sz="6" w:space="0" w:color="auto"/>
              <w:left w:val="single" w:sz="6"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制</w:t>
            </w:r>
            <w:r w:rsidRPr="004928F7">
              <w:rPr>
                <w:rFonts w:ascii="Times New Roman" w:eastAsia="標楷體" w:hAnsi="Times New Roman" w:cs="Times New Roman"/>
                <w:b/>
                <w:sz w:val="28"/>
                <w:szCs w:val="28"/>
              </w:rPr>
              <w:t>/</w:t>
            </w:r>
            <w:r w:rsidRPr="004928F7">
              <w:rPr>
                <w:rFonts w:ascii="Times New Roman" w:eastAsia="標楷體" w:hAnsi="Times New Roman" w:cs="Times New Roman"/>
                <w:b/>
                <w:sz w:val="28"/>
                <w:szCs w:val="28"/>
              </w:rPr>
              <w:t>修訂日期</w:t>
            </w:r>
          </w:p>
        </w:tc>
        <w:tc>
          <w:tcPr>
            <w:tcW w:w="590" w:type="pct"/>
            <w:tcBorders>
              <w:top w:val="single" w:sz="6" w:space="0" w:color="auto"/>
              <w:left w:val="single" w:sz="6"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修訂人</w:t>
            </w:r>
          </w:p>
        </w:tc>
        <w:tc>
          <w:tcPr>
            <w:tcW w:w="877" w:type="pct"/>
            <w:tcBorders>
              <w:top w:val="single" w:sz="6" w:space="0" w:color="auto"/>
              <w:left w:val="single" w:sz="6" w:space="0" w:color="auto"/>
              <w:bottom w:val="single" w:sz="6" w:space="0" w:color="auto"/>
              <w:right w:val="single" w:sz="12" w:space="0" w:color="auto"/>
            </w:tcBorders>
            <w:vAlign w:val="center"/>
          </w:tcPr>
          <w:p w:rsidR="00B43C22" w:rsidRPr="004928F7" w:rsidRDefault="00B43C22" w:rsidP="005327FC">
            <w:pPr>
              <w:spacing w:line="0" w:lineRule="atLeast"/>
              <w:jc w:val="center"/>
              <w:rPr>
                <w:rFonts w:ascii="Times New Roman" w:eastAsia="標楷體" w:hAnsi="Times New Roman" w:cs="Times New Roman"/>
                <w:b/>
                <w:sz w:val="28"/>
                <w:szCs w:val="28"/>
              </w:rPr>
            </w:pPr>
            <w:r w:rsidRPr="004928F7">
              <w:rPr>
                <w:rFonts w:ascii="Times New Roman" w:eastAsia="標楷體" w:hAnsi="Times New Roman" w:cs="Times New Roman"/>
                <w:b/>
                <w:sz w:val="28"/>
                <w:szCs w:val="28"/>
              </w:rPr>
              <w:t>秘書室確認欄</w:t>
            </w:r>
          </w:p>
        </w:tc>
      </w:tr>
      <w:tr w:rsidR="00B43C22" w:rsidRPr="004928F7" w:rsidTr="0004216C">
        <w:trPr>
          <w:trHeight w:val="596"/>
          <w:jc w:val="center"/>
        </w:trPr>
        <w:tc>
          <w:tcPr>
            <w:tcW w:w="731" w:type="pct"/>
            <w:tcBorders>
              <w:top w:val="single" w:sz="6" w:space="0" w:color="auto"/>
              <w:left w:val="single" w:sz="12"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w:t>
            </w:r>
          </w:p>
        </w:tc>
        <w:tc>
          <w:tcPr>
            <w:tcW w:w="2212" w:type="pct"/>
            <w:tcBorders>
              <w:top w:val="single" w:sz="6" w:space="0" w:color="auto"/>
              <w:left w:val="single" w:sz="6" w:space="0" w:color="auto"/>
              <w:bottom w:val="single" w:sz="6" w:space="0" w:color="auto"/>
              <w:right w:val="single" w:sz="6" w:space="0" w:color="auto"/>
            </w:tcBorders>
            <w:vAlign w:val="center"/>
          </w:tcPr>
          <w:p w:rsidR="00B43C22" w:rsidRPr="004928F7" w:rsidRDefault="00B43C22" w:rsidP="005327FC">
            <w:pPr>
              <w:spacing w:line="0" w:lineRule="atLeast"/>
              <w:jc w:val="both"/>
              <w:rPr>
                <w:rFonts w:ascii="Times New Roman" w:eastAsia="標楷體" w:hAnsi="Times New Roman" w:cs="Times New Roman"/>
              </w:rPr>
            </w:pPr>
            <w:r w:rsidRPr="004928F7">
              <w:rPr>
                <w:rFonts w:ascii="Times New Roman" w:eastAsia="標楷體" w:hAnsi="Times New Roman" w:cs="Times New Roman"/>
              </w:rPr>
              <w:t>新訂</w:t>
            </w:r>
          </w:p>
        </w:tc>
        <w:tc>
          <w:tcPr>
            <w:tcW w:w="590" w:type="pct"/>
            <w:tcBorders>
              <w:top w:val="single" w:sz="6" w:space="0" w:color="auto"/>
              <w:left w:val="single" w:sz="6"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rPr>
            </w:pPr>
            <w:r w:rsidRPr="004928F7">
              <w:rPr>
                <w:rFonts w:ascii="Times New Roman" w:eastAsia="標楷體" w:hAnsi="Times New Roman" w:cs="Times New Roman"/>
              </w:rPr>
              <w:t>111.9</w:t>
            </w:r>
            <w:r w:rsidRPr="004928F7">
              <w:rPr>
                <w:rFonts w:ascii="Times New Roman" w:eastAsia="標楷體" w:hAnsi="Times New Roman" w:cs="Times New Roman"/>
              </w:rPr>
              <w:t>月</w:t>
            </w:r>
          </w:p>
        </w:tc>
        <w:tc>
          <w:tcPr>
            <w:tcW w:w="590" w:type="pct"/>
            <w:tcBorders>
              <w:top w:val="single" w:sz="6" w:space="0" w:color="auto"/>
              <w:left w:val="single" w:sz="6" w:space="0" w:color="auto"/>
              <w:bottom w:val="single" w:sz="6" w:space="0" w:color="auto"/>
              <w:right w:val="single" w:sz="6" w:space="0" w:color="auto"/>
            </w:tcBorders>
            <w:vAlign w:val="center"/>
          </w:tcPr>
          <w:p w:rsidR="00B43C22" w:rsidRPr="004928F7" w:rsidRDefault="00B43C22" w:rsidP="005327FC">
            <w:pPr>
              <w:spacing w:line="0" w:lineRule="atLeast"/>
              <w:jc w:val="center"/>
              <w:rPr>
                <w:rFonts w:ascii="Times New Roman" w:eastAsia="標楷體" w:hAnsi="Times New Roman" w:cs="Times New Roman"/>
              </w:rPr>
            </w:pPr>
            <w:r w:rsidRPr="004928F7">
              <w:rPr>
                <w:rFonts w:ascii="Times New Roman" w:eastAsia="標楷體" w:hAnsi="Times New Roman" w:cs="Times New Roman" w:hint="eastAsia"/>
              </w:rPr>
              <w:t>李玠儀</w:t>
            </w:r>
          </w:p>
        </w:tc>
        <w:tc>
          <w:tcPr>
            <w:tcW w:w="877" w:type="pct"/>
            <w:tcBorders>
              <w:top w:val="single" w:sz="6" w:space="0" w:color="auto"/>
              <w:left w:val="single" w:sz="6" w:space="0" w:color="auto"/>
              <w:bottom w:val="single" w:sz="6" w:space="0" w:color="auto"/>
              <w:right w:val="single" w:sz="12" w:space="0" w:color="auto"/>
            </w:tcBorders>
            <w:vAlign w:val="center"/>
          </w:tcPr>
          <w:p w:rsidR="00B43C22" w:rsidRPr="00666093" w:rsidRDefault="00B43C22" w:rsidP="00666093">
            <w:pPr>
              <w:spacing w:line="0" w:lineRule="atLeast"/>
              <w:jc w:val="center"/>
              <w:rPr>
                <w:rFonts w:ascii="Times New Roman" w:eastAsia="標楷體" w:hAnsi="Times New Roman" w:cs="Times New Roman"/>
              </w:rPr>
            </w:pPr>
            <w:r w:rsidRPr="00666093">
              <w:rPr>
                <w:rFonts w:ascii="Times New Roman" w:eastAsia="標楷體" w:hAnsi="Times New Roman" w:cs="Times New Roman"/>
              </w:rPr>
              <w:t>111.12.21</w:t>
            </w:r>
          </w:p>
          <w:p w:rsidR="00B43C22" w:rsidRPr="00666093" w:rsidRDefault="00B43C22" w:rsidP="00666093">
            <w:pPr>
              <w:spacing w:line="0" w:lineRule="atLeast"/>
              <w:jc w:val="center"/>
              <w:rPr>
                <w:rFonts w:ascii="Times New Roman" w:eastAsia="標楷體" w:hAnsi="Times New Roman" w:cs="Times New Roman"/>
              </w:rPr>
            </w:pPr>
            <w:r w:rsidRPr="00666093">
              <w:rPr>
                <w:rFonts w:ascii="Times New Roman" w:eastAsia="標楷體" w:hAnsi="Times New Roman" w:cs="Times New Roman"/>
              </w:rPr>
              <w:t>111-2</w:t>
            </w:r>
          </w:p>
          <w:p w:rsidR="00B43C22" w:rsidRPr="004928F7" w:rsidRDefault="00B43C22" w:rsidP="00666093">
            <w:pPr>
              <w:spacing w:line="0" w:lineRule="atLeast"/>
              <w:jc w:val="center"/>
              <w:rPr>
                <w:rFonts w:ascii="Times New Roman" w:eastAsia="標楷體" w:hAnsi="Times New Roman" w:cs="Times New Roman"/>
              </w:rPr>
            </w:pPr>
            <w:r w:rsidRPr="00666093">
              <w:rPr>
                <w:rFonts w:ascii="Times New Roman" w:eastAsia="標楷體" w:hAnsi="Times New Roman" w:cs="Times New Roman" w:hint="eastAsia"/>
              </w:rPr>
              <w:t>內控會議通過</w:t>
            </w:r>
          </w:p>
        </w:tc>
      </w:tr>
      <w:tr w:rsidR="00B43C22" w:rsidRPr="004928F7" w:rsidTr="0004216C">
        <w:trPr>
          <w:trHeight w:val="596"/>
          <w:jc w:val="center"/>
        </w:trPr>
        <w:tc>
          <w:tcPr>
            <w:tcW w:w="731" w:type="pct"/>
            <w:tcBorders>
              <w:top w:val="single" w:sz="6" w:space="0" w:color="auto"/>
              <w:left w:val="single" w:sz="12" w:space="0" w:color="auto"/>
              <w:bottom w:val="single" w:sz="6" w:space="0" w:color="auto"/>
              <w:right w:val="single" w:sz="6" w:space="0" w:color="auto"/>
            </w:tcBorders>
            <w:vAlign w:val="center"/>
          </w:tcPr>
          <w:p w:rsidR="00B43C22" w:rsidRPr="004C095E" w:rsidRDefault="00B43C22" w:rsidP="004C095E">
            <w:pPr>
              <w:spacing w:line="0" w:lineRule="atLeast"/>
              <w:jc w:val="center"/>
              <w:rPr>
                <w:rFonts w:ascii="Times New Roman" w:eastAsia="標楷體" w:hAnsi="Times New Roman" w:cs="Times New Roman"/>
                <w:color w:val="FF0000"/>
              </w:rPr>
            </w:pPr>
            <w:r w:rsidRPr="004C095E">
              <w:rPr>
                <w:rFonts w:ascii="Times New Roman" w:eastAsia="標楷體" w:hAnsi="Times New Roman" w:cs="Times New Roman" w:hint="eastAsia"/>
                <w:color w:val="FF0000"/>
              </w:rPr>
              <w:t>2</w:t>
            </w:r>
          </w:p>
        </w:tc>
        <w:tc>
          <w:tcPr>
            <w:tcW w:w="2212" w:type="pct"/>
            <w:tcBorders>
              <w:top w:val="single" w:sz="6" w:space="0" w:color="auto"/>
              <w:left w:val="single" w:sz="6" w:space="0" w:color="auto"/>
              <w:bottom w:val="single" w:sz="6" w:space="0" w:color="auto"/>
              <w:right w:val="single" w:sz="6" w:space="0" w:color="auto"/>
            </w:tcBorders>
            <w:vAlign w:val="center"/>
          </w:tcPr>
          <w:p w:rsidR="00B43C22" w:rsidRPr="004C095E" w:rsidRDefault="00B43C22" w:rsidP="004C095E">
            <w:pPr>
              <w:spacing w:line="0" w:lineRule="atLeast"/>
              <w:jc w:val="both"/>
              <w:rPr>
                <w:rFonts w:ascii="Times New Roman" w:eastAsia="標楷體" w:hAnsi="Times New Roman" w:cs="Times New Roman"/>
                <w:color w:val="FF0000"/>
              </w:rPr>
            </w:pPr>
            <w:r w:rsidRPr="004C095E">
              <w:rPr>
                <w:rFonts w:ascii="Times New Roman" w:eastAsia="標楷體" w:hAnsi="Times New Roman" w:cs="Times New Roman" w:hint="eastAsia"/>
                <w:color w:val="FF0000"/>
              </w:rPr>
              <w:t>教育部已關閉境外教研人員及學生來臺資訊系統，故作廢此內控項目以符合現況。</w:t>
            </w:r>
          </w:p>
        </w:tc>
        <w:tc>
          <w:tcPr>
            <w:tcW w:w="590" w:type="pct"/>
            <w:tcBorders>
              <w:top w:val="single" w:sz="6" w:space="0" w:color="auto"/>
              <w:left w:val="single" w:sz="6" w:space="0" w:color="auto"/>
              <w:bottom w:val="single" w:sz="6" w:space="0" w:color="auto"/>
              <w:right w:val="single" w:sz="6" w:space="0" w:color="auto"/>
            </w:tcBorders>
            <w:vAlign w:val="center"/>
          </w:tcPr>
          <w:p w:rsidR="00B43C22" w:rsidRPr="004C095E" w:rsidRDefault="00B43C22" w:rsidP="004C095E">
            <w:pPr>
              <w:spacing w:line="0" w:lineRule="atLeast"/>
              <w:jc w:val="center"/>
              <w:rPr>
                <w:rFonts w:ascii="Times New Roman" w:eastAsia="標楷體" w:hAnsi="Times New Roman" w:cs="Times New Roman"/>
                <w:color w:val="FF0000"/>
              </w:rPr>
            </w:pPr>
            <w:r w:rsidRPr="004C095E">
              <w:rPr>
                <w:rFonts w:ascii="Times New Roman" w:eastAsia="標楷體" w:hAnsi="Times New Roman" w:cs="Times New Roman"/>
                <w:color w:val="FF0000"/>
              </w:rPr>
              <w:t>11</w:t>
            </w:r>
            <w:r w:rsidRPr="004C095E">
              <w:rPr>
                <w:rFonts w:ascii="Times New Roman" w:eastAsia="標楷體" w:hAnsi="Times New Roman" w:cs="Times New Roman" w:hint="eastAsia"/>
                <w:color w:val="FF0000"/>
              </w:rPr>
              <w:t>2</w:t>
            </w:r>
            <w:r w:rsidRPr="004C095E">
              <w:rPr>
                <w:rFonts w:ascii="Times New Roman" w:eastAsia="標楷體" w:hAnsi="Times New Roman" w:cs="Times New Roman"/>
                <w:color w:val="FF0000"/>
              </w:rPr>
              <w:t>.9</w:t>
            </w:r>
            <w:r w:rsidRPr="004C095E">
              <w:rPr>
                <w:rFonts w:ascii="Times New Roman" w:eastAsia="標楷體" w:hAnsi="Times New Roman" w:cs="Times New Roman"/>
                <w:color w:val="FF0000"/>
              </w:rPr>
              <w:t>月</w:t>
            </w:r>
          </w:p>
        </w:tc>
        <w:tc>
          <w:tcPr>
            <w:tcW w:w="590" w:type="pct"/>
            <w:tcBorders>
              <w:top w:val="single" w:sz="6" w:space="0" w:color="auto"/>
              <w:left w:val="single" w:sz="6" w:space="0" w:color="auto"/>
              <w:bottom w:val="single" w:sz="6" w:space="0" w:color="auto"/>
              <w:right w:val="single" w:sz="6" w:space="0" w:color="auto"/>
            </w:tcBorders>
            <w:vAlign w:val="center"/>
          </w:tcPr>
          <w:p w:rsidR="00B43C22" w:rsidRPr="004C095E" w:rsidRDefault="00B43C22" w:rsidP="004C095E">
            <w:pPr>
              <w:spacing w:line="0" w:lineRule="atLeast"/>
              <w:jc w:val="center"/>
              <w:rPr>
                <w:rFonts w:ascii="Times New Roman" w:eastAsia="標楷體" w:hAnsi="Times New Roman" w:cs="Times New Roman"/>
                <w:color w:val="FF0000"/>
              </w:rPr>
            </w:pPr>
            <w:r w:rsidRPr="004C095E">
              <w:rPr>
                <w:rFonts w:ascii="Times New Roman" w:eastAsia="標楷體" w:hAnsi="Times New Roman" w:cs="Times New Roman" w:hint="eastAsia"/>
                <w:color w:val="FF0000"/>
              </w:rPr>
              <w:t>李玠儀</w:t>
            </w:r>
          </w:p>
        </w:tc>
        <w:tc>
          <w:tcPr>
            <w:tcW w:w="877" w:type="pct"/>
            <w:tcBorders>
              <w:top w:val="single" w:sz="6" w:space="0" w:color="auto"/>
              <w:left w:val="single" w:sz="6" w:space="0" w:color="auto"/>
              <w:bottom w:val="single" w:sz="6" w:space="0" w:color="auto"/>
              <w:right w:val="single" w:sz="12" w:space="0" w:color="auto"/>
            </w:tcBorders>
            <w:vAlign w:val="center"/>
          </w:tcPr>
          <w:p w:rsidR="00B43C22" w:rsidRPr="00B25547" w:rsidRDefault="00B43C22" w:rsidP="00B501F8">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113.1.3</w:t>
            </w:r>
            <w:r w:rsidRPr="00B25547">
              <w:rPr>
                <w:rFonts w:ascii="標楷體" w:eastAsia="標楷體" w:hAnsi="標楷體" w:cs="Times New Roman" w:hint="eastAsia"/>
                <w:color w:val="FF0000"/>
              </w:rPr>
              <w:t xml:space="preserve"> </w:t>
            </w:r>
          </w:p>
          <w:p w:rsidR="00B43C22" w:rsidRPr="00B25547" w:rsidRDefault="00B43C22" w:rsidP="00B501F8">
            <w:pPr>
              <w:spacing w:line="0" w:lineRule="atLeast"/>
              <w:jc w:val="center"/>
              <w:rPr>
                <w:rFonts w:ascii="標楷體" w:eastAsia="標楷體" w:hAnsi="標楷體" w:cs="Times New Roman"/>
                <w:color w:val="FF0000"/>
              </w:rPr>
            </w:pPr>
            <w:r w:rsidRPr="00B25547">
              <w:rPr>
                <w:rFonts w:ascii="標楷體" w:eastAsia="標楷體" w:hAnsi="標楷體" w:cs="Times New Roman"/>
                <w:color w:val="FF0000"/>
              </w:rPr>
              <w:t>112-2</w:t>
            </w:r>
          </w:p>
          <w:p w:rsidR="00B43C22" w:rsidRPr="00B501F8" w:rsidRDefault="00B43C22" w:rsidP="00B501F8">
            <w:pPr>
              <w:jc w:val="center"/>
              <w:rPr>
                <w:rFonts w:ascii="標楷體" w:eastAsia="標楷體" w:hAnsi="標楷體" w:cs="Times New Roman"/>
                <w:color w:val="FF0000"/>
              </w:rPr>
            </w:pPr>
            <w:r w:rsidRPr="00B25547">
              <w:rPr>
                <w:rFonts w:ascii="標楷體" w:eastAsia="標楷體" w:hAnsi="標楷體" w:cs="Times New Roman" w:hint="eastAsia"/>
                <w:color w:val="FF0000"/>
              </w:rPr>
              <w:t>內控會議通過</w:t>
            </w:r>
            <w:r>
              <w:rPr>
                <w:rFonts w:ascii="標楷體" w:eastAsia="標楷體" w:hAnsi="標楷體" w:cs="Times New Roman" w:hint="eastAsia"/>
                <w:color w:val="FF0000"/>
              </w:rPr>
              <w:t>(作廢)</w:t>
            </w:r>
          </w:p>
        </w:tc>
      </w:tr>
    </w:tbl>
    <w:p w:rsidR="00B43C22" w:rsidRPr="004928F7" w:rsidRDefault="00B43C22" w:rsidP="00884D99">
      <w:pPr>
        <w:jc w:val="right"/>
        <w:rPr>
          <w:rStyle w:val="a3"/>
          <w:sz w:val="16"/>
          <w:szCs w:val="16"/>
        </w:rPr>
      </w:pPr>
      <w:r w:rsidRPr="004928F7">
        <w:rPr>
          <w:rFonts w:ascii="標楷體" w:eastAsia="標楷體" w:hAnsi="標楷體" w:hint="eastAsia"/>
          <w:sz w:val="16"/>
          <w:szCs w:val="16"/>
        </w:rPr>
        <w:t>回</w:t>
      </w:r>
      <w:hyperlink w:anchor="國際暨兩岸事務處" w:history="1">
        <w:r w:rsidRPr="004928F7">
          <w:rPr>
            <w:rStyle w:val="a3"/>
            <w:rFonts w:hint="eastAsia"/>
            <w:sz w:val="16"/>
            <w:szCs w:val="16"/>
          </w:rPr>
          <w:t>國際暨兩岸事務處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B43C22" w:rsidRPr="004928F7" w:rsidRDefault="00B43C22" w:rsidP="00884D99">
      <w:pPr>
        <w:jc w:val="right"/>
        <w:rPr>
          <w:rFonts w:ascii="標楷體" w:eastAsia="標楷體" w:hAnsi="標楷體"/>
          <w:b/>
          <w:bCs/>
        </w:rPr>
      </w:pPr>
    </w:p>
    <w:p w:rsidR="00B43C22" w:rsidRPr="004928F7" w:rsidRDefault="00B43C22" w:rsidP="00884D99">
      <w:r w:rsidRPr="004928F7">
        <w:rPr>
          <w:rFonts w:ascii="標楷體" w:eastAsia="標楷體" w:hAnsi="標楷體"/>
          <w:noProof/>
        </w:rPr>
        <mc:AlternateContent>
          <mc:Choice Requires="wps">
            <w:drawing>
              <wp:anchor distT="0" distB="0" distL="114300" distR="114300" simplePos="0" relativeHeight="251659264" behindDoc="0" locked="0" layoutInCell="1" allowOverlap="1" wp14:anchorId="41F34F36" wp14:editId="2E32A668">
                <wp:simplePos x="0" y="0"/>
                <wp:positionH relativeFrom="column">
                  <wp:posOffset>4434205</wp:posOffset>
                </wp:positionH>
                <wp:positionV relativeFrom="page">
                  <wp:posOffset>9758680</wp:posOffset>
                </wp:positionV>
                <wp:extent cx="1800225" cy="590550"/>
                <wp:effectExtent l="0" t="0" r="0" b="0"/>
                <wp:wrapNone/>
                <wp:docPr id="478" name="文字方塊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590550"/>
                        </a:xfrm>
                        <a:prstGeom prst="rect">
                          <a:avLst/>
                        </a:prstGeom>
                        <a:noFill/>
                        <a:ln w="12700" cap="flat" cmpd="sng" algn="ctr">
                          <a:noFill/>
                          <a:prstDash val="solid"/>
                          <a:miter lim="800000"/>
                        </a:ln>
                        <a:effectLst/>
                      </wps:spPr>
                      <wps:txbx>
                        <w:txbxContent>
                          <w:p w:rsidR="00B43C22" w:rsidRPr="00B501F8" w:rsidRDefault="00B43C22" w:rsidP="00884D99">
                            <w:pPr>
                              <w:rPr>
                                <w:rFonts w:ascii="標楷體" w:eastAsia="標楷體" w:hAnsi="標楷體"/>
                                <w:color w:val="FF0000"/>
                                <w:sz w:val="16"/>
                                <w:szCs w:val="20"/>
                              </w:rPr>
                            </w:pPr>
                            <w:r w:rsidRPr="005C6E17">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B43C22" w:rsidRPr="005C6E17" w:rsidRDefault="00B43C22" w:rsidP="00884D99">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F34F36" id="_x0000_t202" coordsize="21600,21600" o:spt="202" path="m,l,21600r21600,l21600,xe">
                <v:stroke joinstyle="miter"/>
                <v:path gradientshapeok="t" o:connecttype="rect"/>
              </v:shapetype>
              <v:shape id="文字方塊 478" o:spid="_x0000_s1026" type="#_x0000_t202" style="position:absolute;margin-left:349.15pt;margin-top:768.4pt;width:141.75pt;height:4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nSHoRwIAADcEAAAOAAAAZHJzL2Uyb0RvYy54bWysU11u1DAQfkfiDpbfabKrXdpGzValVRFS&#10;+ZEKB5h1nMTC9hjbu0m5ABIHKM8cgANwoPYcjJ1tWcEbIg+WnfF88803n09OR6PZVvqg0NZ8dlBy&#10;Jq3ARtmu5h/eXz474ixEsA1otLLmNzLw09XTJyeDq+Qce9SN9IxAbKgGV/M+RlcVRRC9NBAO0ElL&#10;wRa9gUhH3xWNh4HQjS7mZfm8GNA3zqOQIdDfiynIVxm/baWIb9s2yMh0zYlbzKvP6zqtxeoEqs6D&#10;65XY0YB/YGFAWSr6CHUBEdjGq7+gjBIeA7bxQKApsG2VkLkH6mZW/tHNdQ9O5l5InOAeZQr/D1a8&#10;2b7zTDU1XxzSqCwYGtL97Ze7H9/ub3/eff/K0n9SaXChosvXjq7H8QWONO3ccXBXKD4GZvG8B9vJ&#10;M+9x6CU0xHKWMou91AknJJD18BobKgabiBlobL1JEpIojNBpWjePE5JjZCKVPCrL+XzJmaDY8rhc&#10;LvMIC6gesp0P8aVEw9Km5p4ckNFhexViYgPVw5VUzOKl0jq7QFs2UIX5YUmlBZAZWw2RtsaRPMF2&#10;nIHuyOUi+gy5l5sgLyD0bAtktIBaNZO1jIrkb61MzYk6fVkRqLRN1WV26I5YkikpM2kUx/W4k32N&#10;zQ0J5nFyL7022vToP3M2kHOp3qcNeMmZfmVJ9OPZYpGsng+L5eGcDn4/st6PgBUEVXNqdNqex+l5&#10;bJxXXU+VpjFbPKNBtSprmKhOrHbjJXdmaXcvKdl//5xv/X7vq18AAAD//wMAUEsDBBQABgAIAAAA&#10;IQAb/l4R3wAAAA0BAAAPAAAAZHJzL2Rvd25yZXYueG1sTE9NT4NAEL2b9D9spok3uxQiAWRpqokH&#10;Dz1Y9T6wUyBld5HdUvTXO570NjPvzfsod4sZxEyT751VsN1EIMg2Tve2VfD+9nyXgfABrcbBWVLw&#10;RR521eqmxEK7q32l+RhawSLWF6igC2EspPRNRwb9xo1kGTu5yWDgdWqlnvDK4maQcRSl0mBv2aHD&#10;kZ46as7Hi+EY80ed5GHvvD+c4seXbzzU50+lbtfL/gFEoCX8keE3Pv9AxZlqd7Hai0FBmmcJUxm4&#10;T1IuwZQ82/JQ8ymN8wxkVcr/LaofAAAA//8DAFBLAQItABQABgAIAAAAIQC2gziS/gAAAOEBAAAT&#10;AAAAAAAAAAAAAAAAAAAAAABbQ29udGVudF9UeXBlc10ueG1sUEsBAi0AFAAGAAgAAAAhADj9If/W&#10;AAAAlAEAAAsAAAAAAAAAAAAAAAAALwEAAF9yZWxzLy5yZWxzUEsBAi0AFAAGAAgAAAAhADqdIehH&#10;AgAANwQAAA4AAAAAAAAAAAAAAAAALgIAAGRycy9lMm9Eb2MueG1sUEsBAi0AFAAGAAgAAAAhABv+&#10;XhHfAAAADQEAAA8AAAAAAAAAAAAAAAAAoQQAAGRycy9kb3ducmV2LnhtbFBLBQYAAAAABAAEAPMA&#10;AACtBQAAAAA=&#10;" filled="f" stroked="f" strokeweight="1pt">
                <v:textbox>
                  <w:txbxContent>
                    <w:p w:rsidR="00B43C22" w:rsidRPr="00B501F8" w:rsidRDefault="00B43C22" w:rsidP="00884D99">
                      <w:pPr>
                        <w:rPr>
                          <w:rFonts w:ascii="標楷體" w:eastAsia="標楷體" w:hAnsi="標楷體"/>
                          <w:color w:val="FF0000"/>
                          <w:sz w:val="16"/>
                          <w:szCs w:val="20"/>
                        </w:rPr>
                      </w:pPr>
                      <w:r w:rsidRPr="005C6E17">
                        <w:rPr>
                          <w:rFonts w:ascii="標楷體" w:eastAsia="標楷體" w:hAnsi="標楷體" w:hint="eastAsia"/>
                          <w:sz w:val="16"/>
                          <w:szCs w:val="16"/>
                        </w:rPr>
                        <w:t>表單修訂日期：</w:t>
                      </w:r>
                      <w:r w:rsidRPr="000939CA">
                        <w:rPr>
                          <w:rFonts w:ascii="標楷體" w:eastAsia="標楷體" w:hAnsi="標楷體" w:hint="eastAsia"/>
                          <w:color w:val="FF0000"/>
                          <w:sz w:val="16"/>
                          <w:szCs w:val="20"/>
                        </w:rPr>
                        <w:t>113.1.3</w:t>
                      </w:r>
                    </w:p>
                    <w:p w:rsidR="00B43C22" w:rsidRPr="005C6E17" w:rsidRDefault="00B43C22" w:rsidP="00884D99">
                      <w:pPr>
                        <w:rPr>
                          <w:rFonts w:ascii="標楷體" w:eastAsia="標楷體" w:hAnsi="標楷體"/>
                          <w:sz w:val="16"/>
                          <w:szCs w:val="16"/>
                        </w:rPr>
                      </w:pPr>
                      <w:r w:rsidRPr="005C6E17">
                        <w:rPr>
                          <w:rFonts w:ascii="標楷體" w:eastAsia="標楷體" w:hAnsi="標楷體" w:hint="eastAsia"/>
                          <w:sz w:val="16"/>
                          <w:szCs w:val="16"/>
                        </w:rPr>
                        <w:t>保存期限：至依附的文件作廢為止</w:t>
                      </w:r>
                    </w:p>
                  </w:txbxContent>
                </v:textbox>
                <w10:wrap anchory="page"/>
              </v:shape>
            </w:pict>
          </mc:Fallback>
        </mc:AlternateContent>
      </w:r>
      <w:r w:rsidRPr="004928F7">
        <w:br w:type="page"/>
        <w:t xml:space="preserve"> </w:t>
      </w:r>
    </w:p>
    <w:tbl>
      <w:tblPr>
        <w:tblStyle w:val="a4"/>
        <w:tblW w:w="9766" w:type="dxa"/>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238"/>
        <w:gridCol w:w="1960"/>
        <w:gridCol w:w="1131"/>
        <w:gridCol w:w="1273"/>
        <w:gridCol w:w="1164"/>
      </w:tblGrid>
      <w:tr w:rsidR="00B43C22" w:rsidRPr="004928F7" w:rsidTr="005327FC">
        <w:trPr>
          <w:jc w:val="center"/>
        </w:trPr>
        <w:tc>
          <w:tcPr>
            <w:tcW w:w="9766" w:type="dxa"/>
            <w:gridSpan w:val="5"/>
            <w:tcBorders>
              <w:top w:val="single" w:sz="12" w:space="0" w:color="auto"/>
              <w:left w:val="single" w:sz="12" w:space="0" w:color="auto"/>
              <w:right w:val="single" w:sz="12" w:space="0" w:color="auto"/>
            </w:tcBorders>
            <w:vAlign w:val="center"/>
          </w:tcPr>
          <w:p w:rsidR="00B43C22" w:rsidRPr="004928F7" w:rsidRDefault="00B43C22" w:rsidP="005327FC">
            <w:pPr>
              <w:autoSpaceDE w:val="0"/>
              <w:autoSpaceDN w:val="0"/>
              <w:adjustRightInd w:val="0"/>
              <w:spacing w:line="0" w:lineRule="atLeast"/>
              <w:ind w:right="28"/>
              <w:jc w:val="center"/>
              <w:textAlignment w:val="baseline"/>
              <w:rPr>
                <w:rFonts w:ascii="Times New Roman" w:eastAsia="標楷體" w:hAnsi="Times New Roman" w:cs="Times New Roman"/>
                <w:b/>
                <w:bCs/>
                <w:sz w:val="32"/>
                <w:szCs w:val="32"/>
              </w:rPr>
            </w:pPr>
            <w:r w:rsidRPr="004928F7">
              <w:rPr>
                <w:rFonts w:ascii="Times New Roman" w:eastAsia="標楷體" w:hAnsi="Times New Roman" w:cs="Times New Roman"/>
                <w:b/>
                <w:sz w:val="32"/>
                <w:szCs w:val="32"/>
              </w:rPr>
              <w:t>佛光大學內部控制文件</w:t>
            </w:r>
          </w:p>
        </w:tc>
      </w:tr>
      <w:tr w:rsidR="00B43C22" w:rsidRPr="004928F7" w:rsidTr="005327FC">
        <w:trPr>
          <w:jc w:val="center"/>
        </w:trPr>
        <w:tc>
          <w:tcPr>
            <w:tcW w:w="4238" w:type="dxa"/>
            <w:tcBorders>
              <w:left w:val="single" w:sz="12" w:space="0" w:color="auto"/>
              <w:bottom w:val="single" w:sz="2" w:space="0" w:color="auto"/>
              <w:right w:val="single" w:sz="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文件名稱</w:t>
            </w:r>
          </w:p>
        </w:tc>
        <w:tc>
          <w:tcPr>
            <w:tcW w:w="1960" w:type="dxa"/>
            <w:tcBorders>
              <w:left w:val="single" w:sz="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制訂單位</w:t>
            </w:r>
          </w:p>
        </w:tc>
        <w:tc>
          <w:tcPr>
            <w:tcW w:w="1131" w:type="dxa"/>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文件編號</w:t>
            </w:r>
          </w:p>
        </w:tc>
        <w:tc>
          <w:tcPr>
            <w:tcW w:w="1273" w:type="dxa"/>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版本</w:t>
            </w:r>
            <w:r w:rsidRPr="004928F7">
              <w:rPr>
                <w:rFonts w:ascii="Times New Roman" w:eastAsia="標楷體" w:hAnsi="Times New Roman" w:cs="Times New Roman"/>
                <w:sz w:val="20"/>
                <w:szCs w:val="20"/>
              </w:rPr>
              <w:t>/</w:t>
            </w:r>
          </w:p>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制訂日期</w:t>
            </w:r>
          </w:p>
        </w:tc>
        <w:tc>
          <w:tcPr>
            <w:tcW w:w="1164" w:type="dxa"/>
            <w:tcBorders>
              <w:right w:val="single" w:sz="1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頁數</w:t>
            </w:r>
          </w:p>
        </w:tc>
      </w:tr>
      <w:tr w:rsidR="00B43C22" w:rsidRPr="004928F7" w:rsidTr="005327FC">
        <w:trPr>
          <w:trHeight w:val="663"/>
          <w:jc w:val="center"/>
        </w:trPr>
        <w:tc>
          <w:tcPr>
            <w:tcW w:w="4238" w:type="dxa"/>
            <w:tcBorders>
              <w:top w:val="single" w:sz="2" w:space="0" w:color="auto"/>
              <w:left w:val="single" w:sz="12" w:space="0" w:color="auto"/>
              <w:bottom w:val="single" w:sz="12" w:space="0" w:color="auto"/>
              <w:right w:val="single" w:sz="2" w:space="0" w:color="auto"/>
            </w:tcBorders>
            <w:vAlign w:val="center"/>
          </w:tcPr>
          <w:p w:rsidR="00B43C22" w:rsidRPr="004928F7" w:rsidRDefault="00B43C22" w:rsidP="005327FC">
            <w:pPr>
              <w:spacing w:line="0" w:lineRule="atLeast"/>
              <w:jc w:val="center"/>
              <w:rPr>
                <w:rFonts w:ascii="標楷體" w:eastAsia="標楷體" w:hAnsi="標楷體"/>
                <w:b/>
                <w:szCs w:val="24"/>
              </w:rPr>
            </w:pPr>
            <w:r w:rsidRPr="004928F7">
              <w:rPr>
                <w:rFonts w:ascii="標楷體" w:eastAsia="標楷體" w:hAnsi="標楷體" w:hint="eastAsia"/>
                <w:b/>
                <w:szCs w:val="24"/>
              </w:rPr>
              <w:t>因應突發情況的交流作業流程</w:t>
            </w:r>
          </w:p>
        </w:tc>
        <w:tc>
          <w:tcPr>
            <w:tcW w:w="1960" w:type="dxa"/>
            <w:tcBorders>
              <w:left w:val="single" w:sz="2" w:space="0" w:color="auto"/>
              <w:bottom w:val="single" w:sz="1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國際暨兩岸事務處</w:t>
            </w:r>
          </w:p>
        </w:tc>
        <w:tc>
          <w:tcPr>
            <w:tcW w:w="1131" w:type="dxa"/>
            <w:tcBorders>
              <w:bottom w:val="single" w:sz="1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1250-007</w:t>
            </w:r>
          </w:p>
        </w:tc>
        <w:tc>
          <w:tcPr>
            <w:tcW w:w="1273" w:type="dxa"/>
            <w:tcBorders>
              <w:bottom w:val="single" w:sz="1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rPr>
            </w:pPr>
            <w:r w:rsidRPr="00B501F8">
              <w:rPr>
                <w:rFonts w:ascii="Times New Roman" w:eastAsia="標楷體" w:hAnsi="Times New Roman" w:cs="Times New Roman"/>
                <w:color w:val="FF0000"/>
                <w:sz w:val="20"/>
              </w:rPr>
              <w:t>02</w:t>
            </w:r>
            <w:r w:rsidRPr="004928F7">
              <w:rPr>
                <w:rFonts w:ascii="Times New Roman" w:eastAsia="標楷體" w:hAnsi="Times New Roman" w:cs="Times New Roman"/>
                <w:sz w:val="20"/>
              </w:rPr>
              <w:t>/</w:t>
            </w:r>
          </w:p>
          <w:p w:rsidR="00B43C22" w:rsidRPr="00B501F8" w:rsidRDefault="00B43C22" w:rsidP="00B501F8">
            <w:pPr>
              <w:jc w:val="cente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1164" w:type="dxa"/>
            <w:tcBorders>
              <w:bottom w:val="single" w:sz="12" w:space="0" w:color="auto"/>
              <w:right w:val="single" w:sz="1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sidRPr="004928F7">
              <w:rPr>
                <w:rFonts w:ascii="Times New Roman" w:eastAsia="標楷體" w:hAnsi="Times New Roman" w:cs="Times New Roman"/>
                <w:sz w:val="20"/>
                <w:szCs w:val="20"/>
              </w:rPr>
              <w:t>1</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2</w:t>
            </w:r>
            <w:r w:rsidRPr="004928F7">
              <w:rPr>
                <w:rFonts w:ascii="Times New Roman" w:eastAsia="標楷體" w:hAnsi="Times New Roman" w:cs="Times New Roman"/>
                <w:sz w:val="20"/>
                <w:szCs w:val="20"/>
              </w:rPr>
              <w:t>頁</w:t>
            </w:r>
          </w:p>
        </w:tc>
      </w:tr>
    </w:tbl>
    <w:p w:rsidR="00B43C22" w:rsidRPr="004928F7" w:rsidRDefault="00B43C22" w:rsidP="00884D99">
      <w:pPr>
        <w:jc w:val="right"/>
        <w:rPr>
          <w:rFonts w:ascii="標楷體" w:eastAsia="標楷體" w:hAnsi="標楷體"/>
          <w:b/>
          <w:bCs/>
        </w:rPr>
      </w:pPr>
      <w:r w:rsidRPr="004928F7">
        <w:rPr>
          <w:rFonts w:ascii="標楷體" w:eastAsia="標楷體" w:hAnsi="標楷體" w:hint="eastAsia"/>
          <w:sz w:val="16"/>
          <w:szCs w:val="16"/>
        </w:rPr>
        <w:t>回</w:t>
      </w:r>
      <w:hyperlink w:anchor="國際暨兩岸事務處" w:history="1">
        <w:r w:rsidRPr="004928F7">
          <w:rPr>
            <w:rStyle w:val="a3"/>
            <w:rFonts w:hint="eastAsia"/>
            <w:sz w:val="16"/>
            <w:szCs w:val="16"/>
          </w:rPr>
          <w:t>國際暨兩岸事務處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B43C22" w:rsidRPr="004928F7" w:rsidRDefault="00B43C22" w:rsidP="00884D99">
      <w:pPr>
        <w:autoSpaceDE w:val="0"/>
        <w:autoSpaceDN w:val="0"/>
        <w:adjustRightInd w:val="0"/>
        <w:spacing w:before="100" w:beforeAutospacing="1"/>
        <w:jc w:val="both"/>
        <w:textAlignment w:val="baseline"/>
        <w:rPr>
          <w:rFonts w:ascii="標楷體" w:eastAsia="標楷體" w:hAnsi="標楷體"/>
          <w:b/>
          <w:bCs/>
        </w:rPr>
      </w:pPr>
      <w:r w:rsidRPr="004928F7">
        <w:rPr>
          <w:rFonts w:ascii="標楷體" w:eastAsia="標楷體" w:hAnsi="標楷體" w:hint="eastAsia"/>
          <w:b/>
          <w:bCs/>
        </w:rPr>
        <w:t>1.流程圖：</w:t>
      </w:r>
    </w:p>
    <w:p w:rsidR="00B43C22" w:rsidRPr="004928F7" w:rsidRDefault="00B43C22" w:rsidP="00884D99">
      <w:pPr>
        <w:rPr>
          <w:rFonts w:ascii="標楷體" w:eastAsia="標楷體" w:hAnsi="標楷體"/>
        </w:rPr>
      </w:pPr>
      <w:r>
        <w:rPr>
          <w:rFonts w:ascii="標楷體" w:eastAsia="標楷體" w:hAnsi="標楷體" w:hint="eastAsia"/>
          <w:kern w:val="0"/>
        </w:rPr>
        <w:object w:dxaOrig="9195" w:dyaOrig="104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75.5pt;height:540pt" o:ole="">
            <v:imagedata r:id="rId4" o:title="" cropbottom="11185f" cropright="7822f"/>
          </v:shape>
          <o:OLEObject Type="Embed" ProgID="Visio.Drawing.11" ShapeID="_x0000_i1025" DrawAspect="Content" ObjectID="_1773575673" r:id="rId5"/>
        </w:object>
      </w:r>
    </w:p>
    <w:tbl>
      <w:tblPr>
        <w:tblStyle w:val="a4"/>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89"/>
        <w:gridCol w:w="1832"/>
        <w:gridCol w:w="1109"/>
        <w:gridCol w:w="1270"/>
        <w:gridCol w:w="1166"/>
      </w:tblGrid>
      <w:tr w:rsidR="00B43C22" w:rsidRPr="004928F7" w:rsidTr="005327FC">
        <w:trPr>
          <w:jc w:val="center"/>
        </w:trPr>
        <w:tc>
          <w:tcPr>
            <w:tcW w:w="5000" w:type="pct"/>
            <w:gridSpan w:val="5"/>
            <w:tcBorders>
              <w:top w:val="single" w:sz="12" w:space="0" w:color="auto"/>
              <w:left w:val="single" w:sz="12" w:space="0" w:color="auto"/>
              <w:right w:val="single" w:sz="12" w:space="0" w:color="auto"/>
            </w:tcBorders>
            <w:vAlign w:val="center"/>
          </w:tcPr>
          <w:p w:rsidR="00B43C22" w:rsidRPr="004928F7" w:rsidRDefault="00B43C22" w:rsidP="005327FC">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4928F7">
              <w:rPr>
                <w:rFonts w:ascii="標楷體" w:eastAsia="標楷體" w:hAnsi="標楷體"/>
              </w:rPr>
              <w:br w:type="page"/>
            </w:r>
            <w:r w:rsidRPr="004928F7">
              <w:rPr>
                <w:rFonts w:ascii="標楷體" w:eastAsia="標楷體" w:hAnsi="標楷體"/>
                <w:b/>
                <w:sz w:val="32"/>
                <w:szCs w:val="32"/>
              </w:rPr>
              <w:t>佛光大學內部控制文件</w:t>
            </w:r>
          </w:p>
        </w:tc>
      </w:tr>
      <w:tr w:rsidR="00B43C22" w:rsidRPr="004928F7" w:rsidTr="005327FC">
        <w:trPr>
          <w:jc w:val="center"/>
        </w:trPr>
        <w:tc>
          <w:tcPr>
            <w:tcW w:w="2247" w:type="pct"/>
            <w:tcBorders>
              <w:left w:val="single" w:sz="12" w:space="0" w:color="auto"/>
              <w:bottom w:val="single" w:sz="2" w:space="0" w:color="auto"/>
              <w:right w:val="single" w:sz="2" w:space="0" w:color="auto"/>
            </w:tcBorders>
            <w:vAlign w:val="center"/>
          </w:tcPr>
          <w:p w:rsidR="00B43C22" w:rsidRPr="004928F7" w:rsidRDefault="00B43C22" w:rsidP="005327FC">
            <w:pPr>
              <w:spacing w:line="0" w:lineRule="atLeast"/>
              <w:jc w:val="center"/>
              <w:rPr>
                <w:rFonts w:ascii="標楷體" w:eastAsia="標楷體" w:hAnsi="標楷體"/>
                <w:sz w:val="20"/>
                <w:szCs w:val="20"/>
              </w:rPr>
            </w:pPr>
            <w:r w:rsidRPr="004928F7">
              <w:rPr>
                <w:rFonts w:ascii="標楷體" w:eastAsia="標楷體" w:hAnsi="標楷體"/>
                <w:sz w:val="20"/>
                <w:szCs w:val="20"/>
              </w:rPr>
              <w:t>文件名稱</w:t>
            </w:r>
          </w:p>
        </w:tc>
        <w:tc>
          <w:tcPr>
            <w:tcW w:w="938" w:type="pct"/>
            <w:tcBorders>
              <w:left w:val="single" w:sz="2" w:space="0" w:color="auto"/>
            </w:tcBorders>
            <w:vAlign w:val="center"/>
          </w:tcPr>
          <w:p w:rsidR="00B43C22" w:rsidRPr="004928F7" w:rsidRDefault="00B43C22" w:rsidP="005327FC">
            <w:pPr>
              <w:spacing w:line="0" w:lineRule="atLeast"/>
              <w:jc w:val="center"/>
              <w:rPr>
                <w:rFonts w:ascii="標楷體" w:eastAsia="標楷體" w:hAnsi="標楷體"/>
                <w:sz w:val="20"/>
                <w:szCs w:val="20"/>
              </w:rPr>
            </w:pPr>
            <w:r w:rsidRPr="004928F7">
              <w:rPr>
                <w:rFonts w:ascii="標楷體" w:eastAsia="標楷體" w:hAnsi="標楷體"/>
                <w:sz w:val="20"/>
                <w:szCs w:val="20"/>
              </w:rPr>
              <w:t>制訂單位</w:t>
            </w:r>
          </w:p>
        </w:tc>
        <w:tc>
          <w:tcPr>
            <w:tcW w:w="568" w:type="pct"/>
            <w:vAlign w:val="center"/>
          </w:tcPr>
          <w:p w:rsidR="00B43C22" w:rsidRPr="004928F7" w:rsidRDefault="00B43C22" w:rsidP="005327FC">
            <w:pPr>
              <w:spacing w:line="0" w:lineRule="atLeast"/>
              <w:jc w:val="center"/>
              <w:rPr>
                <w:rFonts w:ascii="標楷體" w:eastAsia="標楷體" w:hAnsi="標楷體"/>
                <w:sz w:val="20"/>
                <w:szCs w:val="20"/>
              </w:rPr>
            </w:pPr>
            <w:r w:rsidRPr="004928F7">
              <w:rPr>
                <w:rFonts w:ascii="標楷體" w:eastAsia="標楷體" w:hAnsi="標楷體"/>
                <w:sz w:val="20"/>
                <w:szCs w:val="20"/>
              </w:rPr>
              <w:t>文件編號</w:t>
            </w:r>
          </w:p>
        </w:tc>
        <w:tc>
          <w:tcPr>
            <w:tcW w:w="650" w:type="pct"/>
            <w:vAlign w:val="center"/>
          </w:tcPr>
          <w:p w:rsidR="00B43C22" w:rsidRPr="004928F7" w:rsidRDefault="00B43C22" w:rsidP="005327FC">
            <w:pPr>
              <w:spacing w:line="0" w:lineRule="atLeast"/>
              <w:jc w:val="center"/>
              <w:rPr>
                <w:rFonts w:ascii="標楷體" w:eastAsia="標楷體" w:hAnsi="標楷體"/>
                <w:sz w:val="20"/>
                <w:szCs w:val="20"/>
              </w:rPr>
            </w:pPr>
            <w:r w:rsidRPr="004928F7">
              <w:rPr>
                <w:rFonts w:ascii="標楷體" w:eastAsia="標楷體" w:hAnsi="標楷體"/>
                <w:sz w:val="20"/>
                <w:szCs w:val="20"/>
              </w:rPr>
              <w:t>版本/</w:t>
            </w:r>
          </w:p>
          <w:p w:rsidR="00B43C22" w:rsidRPr="004928F7" w:rsidRDefault="00B43C22" w:rsidP="005327FC">
            <w:pPr>
              <w:spacing w:line="0" w:lineRule="atLeast"/>
              <w:jc w:val="center"/>
              <w:rPr>
                <w:rFonts w:ascii="標楷體" w:eastAsia="標楷體" w:hAnsi="標楷體"/>
                <w:sz w:val="20"/>
                <w:szCs w:val="20"/>
              </w:rPr>
            </w:pPr>
            <w:r w:rsidRPr="004928F7">
              <w:rPr>
                <w:rFonts w:ascii="標楷體" w:eastAsia="標楷體" w:hAnsi="標楷體"/>
                <w:sz w:val="20"/>
                <w:szCs w:val="20"/>
              </w:rPr>
              <w:t>制訂日期</w:t>
            </w:r>
          </w:p>
        </w:tc>
        <w:tc>
          <w:tcPr>
            <w:tcW w:w="597" w:type="pct"/>
            <w:tcBorders>
              <w:right w:val="single" w:sz="12" w:space="0" w:color="auto"/>
            </w:tcBorders>
            <w:vAlign w:val="center"/>
          </w:tcPr>
          <w:p w:rsidR="00B43C22" w:rsidRPr="004928F7" w:rsidRDefault="00B43C22" w:rsidP="005327FC">
            <w:pPr>
              <w:spacing w:line="0" w:lineRule="atLeast"/>
              <w:jc w:val="center"/>
              <w:rPr>
                <w:rFonts w:ascii="標楷體" w:eastAsia="標楷體" w:hAnsi="標楷體"/>
                <w:sz w:val="20"/>
                <w:szCs w:val="20"/>
              </w:rPr>
            </w:pPr>
            <w:r w:rsidRPr="004928F7">
              <w:rPr>
                <w:rFonts w:ascii="標楷體" w:eastAsia="標楷體" w:hAnsi="標楷體"/>
                <w:sz w:val="20"/>
                <w:szCs w:val="20"/>
              </w:rPr>
              <w:t>頁數</w:t>
            </w:r>
          </w:p>
        </w:tc>
      </w:tr>
      <w:tr w:rsidR="00B43C22" w:rsidRPr="004928F7" w:rsidTr="005327FC">
        <w:trPr>
          <w:trHeight w:val="663"/>
          <w:jc w:val="center"/>
        </w:trPr>
        <w:tc>
          <w:tcPr>
            <w:tcW w:w="2247" w:type="pct"/>
            <w:tcBorders>
              <w:top w:val="single" w:sz="2" w:space="0" w:color="auto"/>
              <w:left w:val="single" w:sz="12" w:space="0" w:color="auto"/>
              <w:bottom w:val="single" w:sz="12" w:space="0" w:color="auto"/>
              <w:right w:val="single" w:sz="2" w:space="0" w:color="auto"/>
            </w:tcBorders>
            <w:vAlign w:val="center"/>
          </w:tcPr>
          <w:p w:rsidR="00B43C22" w:rsidRPr="004928F7" w:rsidRDefault="00B43C22" w:rsidP="005327FC">
            <w:pPr>
              <w:spacing w:line="0" w:lineRule="atLeast"/>
              <w:jc w:val="center"/>
              <w:rPr>
                <w:rFonts w:ascii="標楷體" w:eastAsia="標楷體" w:hAnsi="標楷體"/>
                <w:b/>
                <w:szCs w:val="24"/>
              </w:rPr>
            </w:pPr>
            <w:r w:rsidRPr="004928F7">
              <w:rPr>
                <w:rFonts w:ascii="標楷體" w:eastAsia="標楷體" w:hAnsi="標楷體" w:hint="eastAsia"/>
                <w:b/>
                <w:szCs w:val="24"/>
              </w:rPr>
              <w:t>因應突發情況的交流作業流程</w:t>
            </w:r>
          </w:p>
        </w:tc>
        <w:tc>
          <w:tcPr>
            <w:tcW w:w="938" w:type="pct"/>
            <w:tcBorders>
              <w:left w:val="single" w:sz="2" w:space="0" w:color="auto"/>
              <w:bottom w:val="single" w:sz="12" w:space="0" w:color="auto"/>
            </w:tcBorders>
            <w:vAlign w:val="center"/>
          </w:tcPr>
          <w:p w:rsidR="00B43C22" w:rsidRPr="004928F7" w:rsidRDefault="00B43C22" w:rsidP="005327FC">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國際暨兩岸事務處</w:t>
            </w:r>
          </w:p>
        </w:tc>
        <w:tc>
          <w:tcPr>
            <w:tcW w:w="568" w:type="pct"/>
            <w:tcBorders>
              <w:bottom w:val="single" w:sz="12" w:space="0" w:color="auto"/>
            </w:tcBorders>
            <w:vAlign w:val="center"/>
          </w:tcPr>
          <w:p w:rsidR="00B43C22" w:rsidRPr="004928F7" w:rsidRDefault="00B43C22" w:rsidP="005327FC">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1250-007</w:t>
            </w:r>
          </w:p>
        </w:tc>
        <w:tc>
          <w:tcPr>
            <w:tcW w:w="650" w:type="pct"/>
            <w:tcBorders>
              <w:bottom w:val="single" w:sz="12" w:space="0" w:color="auto"/>
            </w:tcBorders>
            <w:vAlign w:val="center"/>
          </w:tcPr>
          <w:p w:rsidR="00B43C22" w:rsidRPr="004928F7" w:rsidRDefault="00B43C22" w:rsidP="00B501F8">
            <w:pPr>
              <w:spacing w:line="0" w:lineRule="atLeast"/>
              <w:jc w:val="center"/>
              <w:rPr>
                <w:rFonts w:ascii="Times New Roman" w:eastAsia="標楷體" w:hAnsi="Times New Roman" w:cs="Times New Roman"/>
                <w:sz w:val="20"/>
              </w:rPr>
            </w:pPr>
            <w:r w:rsidRPr="00B501F8">
              <w:rPr>
                <w:rFonts w:ascii="Times New Roman" w:eastAsia="標楷體" w:hAnsi="Times New Roman" w:cs="Times New Roman"/>
                <w:color w:val="FF0000"/>
                <w:sz w:val="20"/>
              </w:rPr>
              <w:t>02</w:t>
            </w:r>
            <w:r w:rsidRPr="004928F7">
              <w:rPr>
                <w:rFonts w:ascii="Times New Roman" w:eastAsia="標楷體" w:hAnsi="Times New Roman" w:cs="Times New Roman"/>
                <w:sz w:val="20"/>
              </w:rPr>
              <w:t>/</w:t>
            </w:r>
          </w:p>
          <w:p w:rsidR="00B43C22" w:rsidRPr="004928F7" w:rsidRDefault="00B43C22" w:rsidP="00B501F8">
            <w:pPr>
              <w:spacing w:line="0" w:lineRule="atLeast"/>
              <w:jc w:val="center"/>
              <w:rPr>
                <w:rFonts w:ascii="標楷體" w:eastAsia="標楷體" w:hAnsi="標楷體"/>
                <w:sz w:val="20"/>
                <w:szCs w:val="20"/>
              </w:rPr>
            </w:pPr>
            <w:r w:rsidRPr="00130E48">
              <w:rPr>
                <w:rFonts w:ascii="標楷體" w:eastAsia="標楷體" w:hAnsi="標楷體" w:hint="eastAsia"/>
                <w:color w:val="FF0000"/>
                <w:sz w:val="20"/>
                <w:szCs w:val="20"/>
              </w:rPr>
              <w:t>11</w:t>
            </w:r>
            <w:r>
              <w:rPr>
                <w:rFonts w:ascii="標楷體" w:eastAsia="標楷體" w:hAnsi="標楷體" w:hint="eastAsia"/>
                <w:color w:val="FF0000"/>
                <w:sz w:val="20"/>
                <w:szCs w:val="20"/>
              </w:rPr>
              <w:t>3</w:t>
            </w:r>
            <w:r w:rsidRPr="00130E48">
              <w:rPr>
                <w:rFonts w:ascii="標楷體" w:eastAsia="標楷體" w:hAnsi="標楷體" w:hint="eastAsia"/>
                <w:color w:val="FF0000"/>
                <w:sz w:val="20"/>
                <w:szCs w:val="20"/>
              </w:rPr>
              <w:t>.</w:t>
            </w:r>
            <w:r w:rsidRPr="00130E48">
              <w:rPr>
                <w:rFonts w:ascii="標楷體" w:eastAsia="標楷體" w:hAnsi="標楷體"/>
                <w:color w:val="FF0000"/>
                <w:sz w:val="20"/>
                <w:szCs w:val="20"/>
              </w:rPr>
              <w:t>1</w:t>
            </w:r>
            <w:r w:rsidRPr="00130E48">
              <w:rPr>
                <w:rFonts w:ascii="標楷體" w:eastAsia="標楷體" w:hAnsi="標楷體" w:hint="eastAsia"/>
                <w:color w:val="FF0000"/>
                <w:sz w:val="20"/>
                <w:szCs w:val="20"/>
              </w:rPr>
              <w:t>.</w:t>
            </w:r>
            <w:r>
              <w:rPr>
                <w:rFonts w:ascii="標楷體" w:eastAsia="標楷體" w:hAnsi="標楷體" w:hint="eastAsia"/>
                <w:color w:val="FF0000"/>
                <w:sz w:val="20"/>
                <w:szCs w:val="20"/>
              </w:rPr>
              <w:t>3</w:t>
            </w:r>
          </w:p>
        </w:tc>
        <w:tc>
          <w:tcPr>
            <w:tcW w:w="597" w:type="pct"/>
            <w:tcBorders>
              <w:bottom w:val="single" w:sz="12" w:space="0" w:color="auto"/>
              <w:right w:val="single" w:sz="12" w:space="0" w:color="auto"/>
            </w:tcBorders>
            <w:vAlign w:val="center"/>
          </w:tcPr>
          <w:p w:rsidR="00B43C22" w:rsidRPr="004928F7" w:rsidRDefault="00B43C22" w:rsidP="005327FC">
            <w:pPr>
              <w:spacing w:line="0" w:lineRule="atLeast"/>
              <w:jc w:val="center"/>
              <w:rPr>
                <w:rFonts w:ascii="Times New Roman" w:eastAsia="標楷體" w:hAnsi="Times New Roman" w:cs="Times New Roman"/>
                <w:sz w:val="20"/>
                <w:szCs w:val="20"/>
              </w:rPr>
            </w:pPr>
            <w:r w:rsidRPr="004928F7">
              <w:rPr>
                <w:rFonts w:ascii="Times New Roman" w:eastAsia="標楷體" w:hAnsi="Times New Roman" w:cs="Times New Roman"/>
                <w:sz w:val="20"/>
                <w:szCs w:val="20"/>
              </w:rPr>
              <w:t>第</w:t>
            </w:r>
            <w:r w:rsidRPr="004928F7">
              <w:rPr>
                <w:rFonts w:ascii="Times New Roman" w:eastAsia="標楷體" w:hAnsi="Times New Roman" w:cs="Times New Roman"/>
                <w:sz w:val="20"/>
                <w:szCs w:val="20"/>
              </w:rPr>
              <w:t>2</w:t>
            </w:r>
            <w:r w:rsidRPr="004928F7">
              <w:rPr>
                <w:rFonts w:ascii="Times New Roman" w:eastAsia="標楷體" w:hAnsi="Times New Roman" w:cs="Times New Roman"/>
                <w:sz w:val="20"/>
                <w:szCs w:val="20"/>
              </w:rPr>
              <w:t>頁</w:t>
            </w:r>
            <w:r w:rsidRPr="004928F7">
              <w:rPr>
                <w:rFonts w:ascii="Times New Roman" w:eastAsia="標楷體" w:hAnsi="Times New Roman" w:cs="Times New Roman"/>
                <w:sz w:val="20"/>
                <w:szCs w:val="20"/>
              </w:rPr>
              <w:t>/</w:t>
            </w:r>
          </w:p>
          <w:p w:rsidR="00B43C22" w:rsidRPr="004928F7" w:rsidRDefault="00B43C22" w:rsidP="005327FC">
            <w:pPr>
              <w:spacing w:line="0" w:lineRule="atLeast"/>
              <w:jc w:val="center"/>
              <w:rPr>
                <w:rFonts w:ascii="標楷體" w:eastAsia="標楷體" w:hAnsi="標楷體"/>
                <w:sz w:val="20"/>
                <w:szCs w:val="20"/>
              </w:rPr>
            </w:pPr>
            <w:r w:rsidRPr="004928F7">
              <w:rPr>
                <w:rFonts w:ascii="Times New Roman" w:eastAsia="標楷體" w:hAnsi="Times New Roman" w:cs="Times New Roman"/>
                <w:sz w:val="20"/>
                <w:szCs w:val="20"/>
              </w:rPr>
              <w:t>共</w:t>
            </w:r>
            <w:r w:rsidRPr="004928F7">
              <w:rPr>
                <w:rFonts w:ascii="Times New Roman" w:eastAsia="標楷體" w:hAnsi="Times New Roman" w:cs="Times New Roman"/>
                <w:sz w:val="20"/>
                <w:szCs w:val="20"/>
              </w:rPr>
              <w:t>2</w:t>
            </w:r>
            <w:r w:rsidRPr="004928F7">
              <w:rPr>
                <w:rFonts w:ascii="Times New Roman" w:eastAsia="標楷體" w:hAnsi="Times New Roman" w:cs="Times New Roman"/>
                <w:sz w:val="20"/>
                <w:szCs w:val="20"/>
              </w:rPr>
              <w:t>頁</w:t>
            </w:r>
          </w:p>
        </w:tc>
      </w:tr>
    </w:tbl>
    <w:p w:rsidR="00B43C22" w:rsidRPr="004928F7" w:rsidRDefault="00B43C22" w:rsidP="00884D99">
      <w:pPr>
        <w:autoSpaceDE w:val="0"/>
        <w:autoSpaceDN w:val="0"/>
        <w:adjustRightInd w:val="0"/>
        <w:jc w:val="right"/>
        <w:textAlignment w:val="baseline"/>
        <w:rPr>
          <w:rFonts w:ascii="標楷體" w:eastAsia="標楷體" w:hAnsi="標楷體"/>
          <w:bCs/>
        </w:rPr>
      </w:pPr>
      <w:r w:rsidRPr="004928F7">
        <w:rPr>
          <w:rFonts w:ascii="標楷體" w:eastAsia="標楷體" w:hAnsi="標楷體" w:hint="eastAsia"/>
          <w:sz w:val="16"/>
          <w:szCs w:val="16"/>
        </w:rPr>
        <w:t>回</w:t>
      </w:r>
      <w:hyperlink w:anchor="國際暨兩岸事務處" w:history="1">
        <w:r w:rsidRPr="004928F7">
          <w:rPr>
            <w:rStyle w:val="a3"/>
            <w:rFonts w:hint="eastAsia"/>
            <w:sz w:val="16"/>
            <w:szCs w:val="16"/>
          </w:rPr>
          <w:t>國際暨兩岸事務處</w:t>
        </w:r>
      </w:hyperlink>
      <w:r w:rsidRPr="004928F7">
        <w:rPr>
          <w:rFonts w:ascii="標楷體" w:eastAsia="標楷體" w:hAnsi="標楷體" w:hint="eastAsia"/>
          <w:sz w:val="16"/>
          <w:szCs w:val="16"/>
        </w:rPr>
        <w:t>、</w:t>
      </w:r>
      <w:hyperlink w:anchor="目錄" w:history="1">
        <w:r w:rsidRPr="004928F7">
          <w:rPr>
            <w:rStyle w:val="a3"/>
            <w:rFonts w:hint="eastAsia"/>
            <w:sz w:val="16"/>
            <w:szCs w:val="16"/>
          </w:rPr>
          <w:t>目錄</w:t>
        </w:r>
      </w:hyperlink>
    </w:p>
    <w:p w:rsidR="00B43C22" w:rsidRDefault="00B43C22" w:rsidP="00A732C4">
      <w:pPr>
        <w:autoSpaceDE w:val="0"/>
        <w:autoSpaceDN w:val="0"/>
        <w:adjustRightInd w:val="0"/>
        <w:spacing w:before="100" w:beforeAutospacing="1"/>
        <w:jc w:val="both"/>
        <w:textAlignment w:val="baseline"/>
        <w:rPr>
          <w:rFonts w:ascii="Times New Roman" w:eastAsia="標楷體" w:hAnsi="Times New Roman" w:cs="Times New Roman"/>
          <w:b/>
          <w:bCs/>
          <w:color w:val="000000" w:themeColor="text1"/>
        </w:rPr>
      </w:pPr>
      <w:r>
        <w:rPr>
          <w:rFonts w:ascii="Times New Roman" w:eastAsia="標楷體" w:hAnsi="Times New Roman" w:cs="Times New Roman"/>
          <w:b/>
          <w:bCs/>
          <w:color w:val="000000" w:themeColor="text1"/>
        </w:rPr>
        <w:t>2.</w:t>
      </w:r>
      <w:r>
        <w:rPr>
          <w:rFonts w:ascii="Times New Roman" w:eastAsia="標楷體" w:hAnsi="Times New Roman" w:cs="Times New Roman" w:hint="eastAsia"/>
          <w:b/>
          <w:bCs/>
          <w:color w:val="000000" w:themeColor="text1"/>
        </w:rPr>
        <w:t>作業程序：</w:t>
      </w:r>
    </w:p>
    <w:p w:rsidR="00B43C22" w:rsidRDefault="00B43C22" w:rsidP="00A732C4">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2.1.</w:t>
      </w:r>
      <w:r>
        <w:rPr>
          <w:rFonts w:ascii="Times New Roman" w:eastAsia="標楷體" w:hAnsi="Times New Roman" w:cs="Times New Roman" w:hint="eastAsia"/>
          <w:color w:val="000000" w:themeColor="text1"/>
          <w:szCs w:val="24"/>
        </w:rPr>
        <w:t>本內控機制</w:t>
      </w:r>
      <w:r w:rsidRPr="00A732C4">
        <w:rPr>
          <w:rFonts w:ascii="Times New Roman" w:eastAsia="標楷體" w:hAnsi="Times New Roman" w:cs="Times New Roman" w:hint="eastAsia"/>
          <w:szCs w:val="24"/>
        </w:rPr>
        <w:t>所指之突發狀況，係指因天災、事變等事前無法預知、非屬循環性，及該事件是否需緊急處理之情事，且需配合教育部專案管道報部入境之情事。並得配合教育部因應臨時突發狀況理由消失而取消本作業程序。</w:t>
      </w:r>
    </w:p>
    <w:p w:rsidR="00B43C22" w:rsidRDefault="00B43C22" w:rsidP="00A732C4">
      <w:pPr>
        <w:autoSpaceDE w:val="0"/>
        <w:autoSpaceDN w:val="0"/>
        <w:adjustRightInd w:val="0"/>
        <w:spacing w:beforeLines="100" w:before="360"/>
        <w:ind w:right="28"/>
        <w:jc w:val="both"/>
        <w:textAlignment w:val="baseline"/>
        <w:rPr>
          <w:rFonts w:ascii="Times New Roman" w:eastAsia="標楷體" w:hAnsi="Times New Roman" w:cs="Times New Roman"/>
          <w:b/>
          <w:bCs/>
          <w:color w:val="000000" w:themeColor="text1"/>
        </w:rPr>
      </w:pPr>
      <w:r>
        <w:rPr>
          <w:rFonts w:ascii="Times New Roman" w:eastAsia="標楷體" w:hAnsi="Times New Roman" w:cs="Times New Roman"/>
          <w:b/>
          <w:bCs/>
          <w:color w:val="000000" w:themeColor="text1"/>
        </w:rPr>
        <w:t>3.</w:t>
      </w:r>
      <w:r>
        <w:rPr>
          <w:rFonts w:ascii="Times New Roman" w:eastAsia="標楷體" w:hAnsi="Times New Roman" w:cs="Times New Roman" w:hint="eastAsia"/>
          <w:b/>
          <w:bCs/>
          <w:color w:val="000000" w:themeColor="text1"/>
        </w:rPr>
        <w:t>控制重點：</w:t>
      </w:r>
    </w:p>
    <w:p w:rsidR="00B43C22" w:rsidRDefault="00B43C22" w:rsidP="00A732C4">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3.1. </w:t>
      </w:r>
      <w:r>
        <w:rPr>
          <w:rFonts w:ascii="Times New Roman" w:eastAsia="標楷體" w:hAnsi="Times New Roman" w:cs="Times New Roman" w:hint="eastAsia"/>
          <w:color w:val="000000" w:themeColor="text1"/>
          <w:szCs w:val="24"/>
        </w:rPr>
        <w:t>是否依照教育部專案管道系統報部，並得配合教育部因應臨時突發狀況理由消失而取消本控制重點。</w:t>
      </w:r>
    </w:p>
    <w:p w:rsidR="00B43C22" w:rsidRDefault="00B43C22" w:rsidP="00A732C4">
      <w:pPr>
        <w:autoSpaceDE w:val="0"/>
        <w:autoSpaceDN w:val="0"/>
        <w:adjustRightInd w:val="0"/>
        <w:spacing w:before="100" w:beforeAutospacing="1"/>
        <w:jc w:val="both"/>
        <w:textAlignment w:val="baseline"/>
        <w:rPr>
          <w:rFonts w:ascii="Times New Roman" w:eastAsia="標楷體" w:hAnsi="Times New Roman" w:cs="Times New Roman"/>
          <w:b/>
          <w:bCs/>
          <w:color w:val="000000" w:themeColor="text1"/>
        </w:rPr>
      </w:pPr>
      <w:r>
        <w:rPr>
          <w:rFonts w:ascii="Times New Roman" w:eastAsia="標楷體" w:hAnsi="Times New Roman" w:cs="Times New Roman"/>
          <w:b/>
          <w:bCs/>
          <w:color w:val="000000" w:themeColor="text1"/>
        </w:rPr>
        <w:t>4.</w:t>
      </w:r>
      <w:r>
        <w:rPr>
          <w:rFonts w:ascii="Times New Roman" w:eastAsia="標楷體" w:hAnsi="Times New Roman" w:cs="Times New Roman" w:hint="eastAsia"/>
          <w:b/>
          <w:bCs/>
          <w:color w:val="000000" w:themeColor="text1"/>
        </w:rPr>
        <w:t>使用表單：</w:t>
      </w:r>
    </w:p>
    <w:p w:rsidR="00B43C22" w:rsidRDefault="00B43C22" w:rsidP="00A732C4">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4.1. </w:t>
      </w:r>
      <w:r>
        <w:rPr>
          <w:rFonts w:ascii="Times New Roman" w:eastAsia="標楷體" w:hAnsi="Times New Roman" w:cs="Times New Roman" w:hint="eastAsia"/>
          <w:color w:val="000000" w:themeColor="text1"/>
          <w:szCs w:val="24"/>
        </w:rPr>
        <w:t>用印申請書。</w:t>
      </w:r>
    </w:p>
    <w:p w:rsidR="00B43C22" w:rsidRDefault="00B43C22" w:rsidP="00A732C4">
      <w:pPr>
        <w:tabs>
          <w:tab w:val="left" w:pos="960"/>
          <w:tab w:val="num" w:pos="1080"/>
        </w:tabs>
        <w:adjustRightInd w:val="0"/>
        <w:ind w:leftChars="100" w:left="720" w:hangingChars="200" w:hanging="480"/>
        <w:jc w:val="both"/>
        <w:textAlignment w:val="baseline"/>
        <w:rPr>
          <w:rFonts w:ascii="Times New Roman" w:eastAsia="標楷體" w:hAnsi="Times New Roman" w:cs="Times New Roman"/>
          <w:color w:val="000000" w:themeColor="text1"/>
          <w:szCs w:val="24"/>
        </w:rPr>
      </w:pPr>
      <w:r>
        <w:rPr>
          <w:rFonts w:ascii="Times New Roman" w:eastAsia="標楷體" w:hAnsi="Times New Roman" w:cs="Times New Roman"/>
          <w:color w:val="000000" w:themeColor="text1"/>
          <w:szCs w:val="24"/>
        </w:rPr>
        <w:t xml:space="preserve">4.2. </w:t>
      </w:r>
      <w:r>
        <w:rPr>
          <w:rFonts w:ascii="Times New Roman" w:eastAsia="標楷體" w:hAnsi="Times New Roman" w:cs="Times New Roman" w:hint="eastAsia"/>
          <w:color w:val="000000" w:themeColor="text1"/>
          <w:szCs w:val="24"/>
        </w:rPr>
        <w:t>教育部系統產生之名冊及入境證明書，並得配合教育部因應臨時突發狀況理由消失而取消名冊及入境證明書。</w:t>
      </w:r>
    </w:p>
    <w:p w:rsidR="00B43C22" w:rsidRDefault="00B43C22" w:rsidP="00A732C4">
      <w:pPr>
        <w:autoSpaceDE w:val="0"/>
        <w:autoSpaceDN w:val="0"/>
        <w:adjustRightInd w:val="0"/>
        <w:spacing w:before="100" w:beforeAutospacing="1"/>
        <w:jc w:val="both"/>
        <w:textAlignment w:val="baseline"/>
        <w:rPr>
          <w:rFonts w:ascii="Times New Roman" w:eastAsia="標楷體" w:hAnsi="Times New Roman" w:cs="Times New Roman"/>
          <w:b/>
          <w:bCs/>
        </w:rPr>
      </w:pPr>
      <w:r>
        <w:rPr>
          <w:rFonts w:ascii="Times New Roman" w:eastAsia="標楷體" w:hAnsi="Times New Roman" w:cs="Times New Roman"/>
          <w:b/>
          <w:bCs/>
        </w:rPr>
        <w:t>5.</w:t>
      </w:r>
      <w:r>
        <w:rPr>
          <w:rFonts w:ascii="Times New Roman" w:eastAsia="標楷體" w:hAnsi="Times New Roman" w:cs="Times New Roman" w:hint="eastAsia"/>
          <w:b/>
          <w:bCs/>
        </w:rPr>
        <w:t>依據及相關文件：</w:t>
      </w:r>
    </w:p>
    <w:p w:rsidR="00B43C22" w:rsidRDefault="00B43C22" w:rsidP="00A732C4">
      <w:pPr>
        <w:tabs>
          <w:tab w:val="left" w:pos="960"/>
        </w:tabs>
        <w:adjustRightInd w:val="0"/>
        <w:ind w:leftChars="100" w:left="720" w:hangingChars="200" w:hanging="480"/>
        <w:jc w:val="both"/>
        <w:textAlignment w:val="baseline"/>
        <w:rPr>
          <w:rFonts w:ascii="Times New Roman" w:eastAsia="標楷體" w:hAnsi="Times New Roman" w:cs="Times New Roman"/>
          <w:szCs w:val="24"/>
        </w:rPr>
      </w:pPr>
    </w:p>
    <w:p w:rsidR="00B43C22" w:rsidRPr="004928F7" w:rsidRDefault="00B43C22" w:rsidP="00884D99">
      <w:pPr>
        <w:tabs>
          <w:tab w:val="left" w:pos="960"/>
        </w:tabs>
        <w:adjustRightInd w:val="0"/>
        <w:ind w:leftChars="100" w:left="720" w:hangingChars="200" w:hanging="480"/>
        <w:jc w:val="both"/>
        <w:textAlignment w:val="baseline"/>
        <w:rPr>
          <w:rFonts w:ascii="Times New Roman" w:eastAsia="標楷體" w:hAnsi="Times New Roman" w:cs="Times New Roman"/>
          <w:szCs w:val="24"/>
        </w:rPr>
      </w:pPr>
    </w:p>
    <w:p w:rsidR="00B43C22" w:rsidRDefault="00B43C22" w:rsidP="00B54D50">
      <w:pPr>
        <w:sectPr w:rsidR="00B43C22" w:rsidSect="0001362A">
          <w:type w:val="continuous"/>
          <w:pgSz w:w="11906" w:h="16838"/>
          <w:pgMar w:top="1134" w:right="1134" w:bottom="1134" w:left="1134" w:header="851" w:footer="851" w:gutter="0"/>
          <w:pgNumType w:start="1"/>
          <w:cols w:space="425"/>
          <w:docGrid w:type="lines" w:linePitch="360"/>
        </w:sectPr>
      </w:pPr>
    </w:p>
    <w:p w:rsidR="00805E97" w:rsidRDefault="00805E97"/>
    <w:sectPr w:rsidR="00805E97">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標楷體">
    <w:panose1 w:val="03000509000000000000"/>
    <w:charset w:val="88"/>
    <w:family w:val="script"/>
    <w:pitch w:val="fixed"/>
    <w:sig w:usb0="00000003" w:usb1="080E0000" w:usb2="00000016"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3C22"/>
    <w:rsid w:val="00805E97"/>
    <w:rsid w:val="00B43C2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90E891DA-29B5-42CC-9402-1DA368590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pPr>
  </w:style>
  <w:style w:type="paragraph" w:styleId="2">
    <w:name w:val="heading 2"/>
    <w:basedOn w:val="a"/>
    <w:next w:val="a"/>
    <w:link w:val="20"/>
    <w:uiPriority w:val="9"/>
    <w:semiHidden/>
    <w:unhideWhenUsed/>
    <w:qFormat/>
    <w:rsid w:val="00B43C22"/>
    <w:pPr>
      <w:keepNext/>
      <w:spacing w:line="720" w:lineRule="auto"/>
      <w:outlineLvl w:val="1"/>
    </w:pPr>
    <w:rPr>
      <w:rFonts w:asciiTheme="majorHAnsi" w:eastAsiaTheme="majorEastAsia" w:hAnsiTheme="majorHAnsi" w:cstheme="majorBidi"/>
      <w:b/>
      <w:bCs/>
      <w:sz w:val="48"/>
      <w:szCs w:val="48"/>
    </w:rPr>
  </w:style>
  <w:style w:type="paragraph" w:styleId="3">
    <w:name w:val="heading 3"/>
    <w:basedOn w:val="a"/>
    <w:next w:val="a"/>
    <w:link w:val="30"/>
    <w:uiPriority w:val="9"/>
    <w:semiHidden/>
    <w:unhideWhenUsed/>
    <w:qFormat/>
    <w:rsid w:val="00B43C22"/>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uiPriority w:val="9"/>
    <w:semiHidden/>
    <w:rsid w:val="00B43C22"/>
    <w:rPr>
      <w:rFonts w:asciiTheme="majorHAnsi" w:eastAsiaTheme="majorEastAsia" w:hAnsiTheme="majorHAnsi" w:cstheme="majorBidi"/>
      <w:b/>
      <w:bCs/>
      <w:sz w:val="48"/>
      <w:szCs w:val="48"/>
    </w:rPr>
  </w:style>
  <w:style w:type="character" w:styleId="a3">
    <w:name w:val="Hyperlink"/>
    <w:basedOn w:val="a0"/>
    <w:uiPriority w:val="99"/>
    <w:unhideWhenUsed/>
    <w:rsid w:val="00B43C22"/>
    <w:rPr>
      <w:color w:val="0563C1" w:themeColor="hyperlink"/>
      <w:u w:val="single"/>
    </w:rPr>
  </w:style>
  <w:style w:type="paragraph" w:customStyle="1" w:styleId="31">
    <w:name w:val="標題3"/>
    <w:basedOn w:val="3"/>
    <w:next w:val="3"/>
    <w:link w:val="32"/>
    <w:qFormat/>
    <w:rsid w:val="00B43C22"/>
    <w:pPr>
      <w:spacing w:line="0" w:lineRule="atLeast"/>
      <w:jc w:val="both"/>
    </w:pPr>
    <w:rPr>
      <w:rFonts w:ascii="標楷體" w:eastAsia="標楷體" w:hAnsi="標楷體"/>
      <w:sz w:val="28"/>
      <w:szCs w:val="28"/>
    </w:rPr>
  </w:style>
  <w:style w:type="character" w:customStyle="1" w:styleId="32">
    <w:name w:val="標題3 字元"/>
    <w:basedOn w:val="a0"/>
    <w:link w:val="31"/>
    <w:rsid w:val="00B43C22"/>
    <w:rPr>
      <w:rFonts w:ascii="標楷體" w:eastAsia="標楷體" w:hAnsi="標楷體" w:cstheme="majorBidi"/>
      <w:b/>
      <w:bCs/>
      <w:sz w:val="28"/>
      <w:szCs w:val="28"/>
    </w:rPr>
  </w:style>
  <w:style w:type="table" w:styleId="a4">
    <w:name w:val="Table Grid"/>
    <w:basedOn w:val="a1"/>
    <w:uiPriority w:val="59"/>
    <w:rsid w:val="00B43C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標題 3 字元"/>
    <w:basedOn w:val="a0"/>
    <w:link w:val="3"/>
    <w:uiPriority w:val="9"/>
    <w:semiHidden/>
    <w:rsid w:val="00B43C22"/>
    <w:rPr>
      <w:rFonts w:asciiTheme="majorHAnsi" w:eastAsiaTheme="majorEastAsia" w:hAnsiTheme="majorHAnsi" w:cstheme="majorBidi"/>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Microsoft_Visio_2003-2010_Drawing.vsd"/><Relationship Id="rId4" Type="http://schemas.openxmlformats.org/officeDocument/2006/relationships/image" Target="media/image1.e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使用者</dc:creator>
  <cp:keywords/>
  <dc:description/>
  <cp:lastModifiedBy/>
  <cp:revision>1</cp:revision>
  <dcterms:created xsi:type="dcterms:W3CDTF">2024-04-02T06:26:00Z</dcterms:created>
</cp:coreProperties>
</file>