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6B7" w14:textId="77777777" w:rsidR="00E74BBE" w:rsidRPr="006D7D73" w:rsidRDefault="00E74BBE" w:rsidP="00360B66">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678"/>
        <w:gridCol w:w="1368"/>
        <w:gridCol w:w="1093"/>
        <w:gridCol w:w="1065"/>
      </w:tblGrid>
      <w:tr w:rsidR="00E74BBE" w:rsidRPr="006D7D73" w14:paraId="68AD6F97" w14:textId="77777777" w:rsidTr="00D66240">
        <w:trPr>
          <w:jc w:val="center"/>
        </w:trPr>
        <w:tc>
          <w:tcPr>
            <w:tcW w:w="730" w:type="pct"/>
            <w:vAlign w:val="center"/>
          </w:tcPr>
          <w:p w14:paraId="39A4C46E"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_Hlk100270103"/>
        <w:tc>
          <w:tcPr>
            <w:tcW w:w="2434" w:type="pct"/>
            <w:vAlign w:val="center"/>
          </w:tcPr>
          <w:p w14:paraId="011083A9" w14:textId="77777777" w:rsidR="00E74BBE" w:rsidRPr="006D7D73" w:rsidRDefault="00E74BBE" w:rsidP="00060520">
            <w:pPr>
              <w:pStyle w:val="31"/>
            </w:pPr>
            <w:r>
              <w:fldChar w:fldCharType="begin"/>
            </w:r>
            <w:r>
              <w:instrText xml:space="preserve"> HYPERLINK \l "會計室" </w:instrText>
            </w:r>
            <w:r>
              <w:fldChar w:fldCharType="separate"/>
            </w:r>
            <w:bookmarkStart w:id="1" w:name="_Toc99130274"/>
            <w:bookmarkStart w:id="2" w:name="_Toc92798262"/>
            <w:r w:rsidRPr="006D7D73">
              <w:rPr>
                <w:rStyle w:val="a3"/>
                <w:rFonts w:cs="Times New Roman" w:hint="eastAsia"/>
              </w:rPr>
              <w:t>1170-008</w:t>
            </w:r>
            <w:bookmarkStart w:id="3" w:name="學雜費收入與退費之管理及紀錄"/>
            <w:r w:rsidRPr="006D7D73">
              <w:rPr>
                <w:rStyle w:val="a3"/>
                <w:rFonts w:cs="Times New Roman" w:hint="eastAsia"/>
              </w:rPr>
              <w:t>學雜費收入與退費之管理及紀錄</w:t>
            </w:r>
            <w:bookmarkEnd w:id="1"/>
            <w:bookmarkEnd w:id="2"/>
            <w:bookmarkEnd w:id="3"/>
            <w:r>
              <w:rPr>
                <w:rStyle w:val="a3"/>
                <w:rFonts w:cs="Times New Roman"/>
              </w:rPr>
              <w:fldChar w:fldCharType="end"/>
            </w:r>
            <w:bookmarkEnd w:id="0"/>
          </w:p>
        </w:tc>
        <w:tc>
          <w:tcPr>
            <w:tcW w:w="712" w:type="pct"/>
            <w:vAlign w:val="center"/>
          </w:tcPr>
          <w:p w14:paraId="719799BF"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23" w:type="pct"/>
            <w:gridSpan w:val="2"/>
            <w:vAlign w:val="center"/>
          </w:tcPr>
          <w:p w14:paraId="5FF22CCC" w14:textId="77777777" w:rsidR="00E74BBE" w:rsidRPr="006D7D73" w:rsidRDefault="00E74BBE" w:rsidP="000A0A62">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會計室</w:t>
            </w:r>
          </w:p>
        </w:tc>
      </w:tr>
      <w:tr w:rsidR="00E74BBE" w:rsidRPr="006D7D73" w14:paraId="78BB2EBA" w14:textId="77777777" w:rsidTr="00D66240">
        <w:trPr>
          <w:jc w:val="center"/>
        </w:trPr>
        <w:tc>
          <w:tcPr>
            <w:tcW w:w="730" w:type="pct"/>
            <w:vAlign w:val="center"/>
          </w:tcPr>
          <w:p w14:paraId="609ED9C2"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34" w:type="pct"/>
            <w:vAlign w:val="center"/>
          </w:tcPr>
          <w:p w14:paraId="4914C284"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712" w:type="pct"/>
            <w:vAlign w:val="center"/>
          </w:tcPr>
          <w:p w14:paraId="3C771007"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69" w:type="pct"/>
            <w:vAlign w:val="center"/>
          </w:tcPr>
          <w:p w14:paraId="3EAEC0B9"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54" w:type="pct"/>
            <w:vAlign w:val="center"/>
          </w:tcPr>
          <w:p w14:paraId="51244D6D" w14:textId="77777777" w:rsidR="00E74BBE" w:rsidRPr="006D7D73" w:rsidRDefault="00E74BBE" w:rsidP="000A0A62">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E74BBE" w:rsidRPr="006D7D73" w14:paraId="59729A30" w14:textId="77777777" w:rsidTr="00D66240">
        <w:trPr>
          <w:jc w:val="center"/>
        </w:trPr>
        <w:tc>
          <w:tcPr>
            <w:tcW w:w="730" w:type="pct"/>
            <w:vAlign w:val="center"/>
          </w:tcPr>
          <w:p w14:paraId="3FFC977F"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434" w:type="pct"/>
            <w:vAlign w:val="center"/>
          </w:tcPr>
          <w:p w14:paraId="584CBBC7" w14:textId="77777777" w:rsidR="00E74BBE" w:rsidRPr="006D7D73" w:rsidRDefault="00E74BBE" w:rsidP="000A0A62">
            <w:pPr>
              <w:spacing w:line="0" w:lineRule="atLeast"/>
              <w:jc w:val="both"/>
              <w:rPr>
                <w:rFonts w:ascii="標楷體" w:eastAsia="標楷體" w:hAnsi="標楷體" w:cs="Times New Roman"/>
                <w:szCs w:val="24"/>
              </w:rPr>
            </w:pPr>
          </w:p>
          <w:p w14:paraId="12CC9690" w14:textId="77777777" w:rsidR="00E74BBE" w:rsidRPr="006D7D73" w:rsidRDefault="00E74BBE" w:rsidP="000A0A62">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4DB8E0E9" w14:textId="77777777" w:rsidR="00E74BBE" w:rsidRPr="006D7D73" w:rsidRDefault="00E74BBE" w:rsidP="000A0A62">
            <w:pPr>
              <w:spacing w:line="0" w:lineRule="atLeast"/>
              <w:jc w:val="both"/>
              <w:rPr>
                <w:rFonts w:ascii="標楷體" w:eastAsia="標楷體" w:hAnsi="標楷體" w:cs="Times New Roman"/>
                <w:szCs w:val="24"/>
              </w:rPr>
            </w:pPr>
          </w:p>
        </w:tc>
        <w:tc>
          <w:tcPr>
            <w:tcW w:w="712" w:type="pct"/>
            <w:vAlign w:val="center"/>
          </w:tcPr>
          <w:p w14:paraId="4899393D"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100.3</w:t>
            </w:r>
            <w:r w:rsidRPr="006D7D73">
              <w:rPr>
                <w:rFonts w:ascii="標楷體" w:eastAsia="標楷體" w:hAnsi="標楷體" w:cs="Times New Roman" w:hint="eastAsia"/>
                <w:szCs w:val="24"/>
              </w:rPr>
              <w:t>月</w:t>
            </w:r>
          </w:p>
        </w:tc>
        <w:tc>
          <w:tcPr>
            <w:tcW w:w="569" w:type="pct"/>
            <w:vAlign w:val="center"/>
          </w:tcPr>
          <w:p w14:paraId="3935B6E5"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釋妙暘</w:t>
            </w:r>
          </w:p>
        </w:tc>
        <w:tc>
          <w:tcPr>
            <w:tcW w:w="554" w:type="pct"/>
            <w:vAlign w:val="center"/>
          </w:tcPr>
          <w:p w14:paraId="5CB651F2"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2B3D0643" w14:textId="77777777" w:rsidTr="00D66240">
        <w:trPr>
          <w:jc w:val="center"/>
        </w:trPr>
        <w:tc>
          <w:tcPr>
            <w:tcW w:w="730" w:type="pct"/>
            <w:vAlign w:val="center"/>
          </w:tcPr>
          <w:p w14:paraId="1C920525"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434" w:type="pct"/>
            <w:vAlign w:val="center"/>
          </w:tcPr>
          <w:p w14:paraId="28DC30E3"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修訂原因：配合組織調整，總務處出納組改為總務處出納。</w:t>
            </w:r>
          </w:p>
          <w:p w14:paraId="224C4324"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62B88B47"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（1）流程圖修改單位名稱變更。</w:t>
            </w:r>
          </w:p>
          <w:p w14:paraId="5CC3FC68"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w:t>
            </w:r>
            <w:r w:rsidRPr="006D7D73">
              <w:rPr>
                <w:rFonts w:ascii="標楷體" w:eastAsia="標楷體" w:hAnsi="標楷體" w:cs="Times New Roman"/>
                <w:szCs w:val="24"/>
              </w:rPr>
              <w:t>2.3.2</w:t>
            </w:r>
            <w:r w:rsidRPr="006D7D73">
              <w:rPr>
                <w:rFonts w:ascii="標楷體" w:eastAsia="標楷體" w:hAnsi="標楷體" w:cs="Times New Roman" w:hint="eastAsia"/>
                <w:szCs w:val="24"/>
              </w:rPr>
              <w:t>.、</w:t>
            </w:r>
            <w:r w:rsidRPr="006D7D73">
              <w:rPr>
                <w:rFonts w:ascii="標楷體" w:eastAsia="標楷體" w:hAnsi="標楷體" w:cs="Times New Roman"/>
                <w:szCs w:val="24"/>
              </w:rPr>
              <w:t>2.3.3</w:t>
            </w:r>
            <w:r w:rsidRPr="006D7D73">
              <w:rPr>
                <w:rFonts w:ascii="標楷體" w:eastAsia="標楷體" w:hAnsi="標楷體" w:cs="Times New Roman" w:hint="eastAsia"/>
                <w:szCs w:val="24"/>
              </w:rPr>
              <w:t>.、</w:t>
            </w:r>
            <w:r w:rsidRPr="006D7D73">
              <w:rPr>
                <w:rFonts w:ascii="標楷體" w:eastAsia="標楷體" w:hAnsi="標楷體" w:cs="Times New Roman"/>
                <w:szCs w:val="24"/>
              </w:rPr>
              <w:t>2.4.1</w:t>
            </w:r>
            <w:r w:rsidRPr="006D7D73">
              <w:rPr>
                <w:rFonts w:ascii="標楷體" w:eastAsia="標楷體" w:hAnsi="標楷體" w:cs="Times New Roman" w:hint="eastAsia"/>
                <w:szCs w:val="24"/>
              </w:rPr>
              <w:t>.、</w:t>
            </w:r>
            <w:r w:rsidRPr="006D7D73">
              <w:rPr>
                <w:rFonts w:ascii="標楷體" w:eastAsia="標楷體" w:hAnsi="標楷體" w:cs="Times New Roman"/>
                <w:szCs w:val="24"/>
              </w:rPr>
              <w:t>2.6.2</w:t>
            </w:r>
            <w:r w:rsidRPr="006D7D73">
              <w:rPr>
                <w:rFonts w:ascii="標楷體" w:eastAsia="標楷體" w:hAnsi="標楷體" w:cs="Times New Roman" w:hint="eastAsia"/>
                <w:szCs w:val="24"/>
              </w:rPr>
              <w:t>.。</w:t>
            </w:r>
          </w:p>
          <w:p w14:paraId="65B704E9"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（3）控制重點修改</w:t>
            </w:r>
            <w:r w:rsidRPr="006D7D73">
              <w:rPr>
                <w:rFonts w:ascii="標楷體" w:eastAsia="標楷體" w:hAnsi="標楷體" w:cs="Times New Roman"/>
                <w:szCs w:val="24"/>
              </w:rPr>
              <w:t>3.3</w:t>
            </w:r>
            <w:r w:rsidRPr="006D7D73">
              <w:rPr>
                <w:rFonts w:ascii="標楷體" w:eastAsia="標楷體" w:hAnsi="標楷體" w:cs="Times New Roman" w:hint="eastAsia"/>
                <w:szCs w:val="24"/>
              </w:rPr>
              <w:t>.、</w:t>
            </w:r>
            <w:r w:rsidRPr="006D7D73">
              <w:rPr>
                <w:rFonts w:ascii="標楷體" w:eastAsia="標楷體" w:hAnsi="標楷體" w:cs="Times New Roman"/>
                <w:szCs w:val="24"/>
              </w:rPr>
              <w:t>3.4</w:t>
            </w:r>
            <w:r w:rsidRPr="006D7D73">
              <w:rPr>
                <w:rFonts w:ascii="標楷體" w:eastAsia="標楷體" w:hAnsi="標楷體" w:cs="Times New Roman" w:hint="eastAsia"/>
                <w:szCs w:val="24"/>
              </w:rPr>
              <w:t>.。</w:t>
            </w:r>
          </w:p>
        </w:tc>
        <w:tc>
          <w:tcPr>
            <w:tcW w:w="712" w:type="pct"/>
            <w:vAlign w:val="center"/>
          </w:tcPr>
          <w:p w14:paraId="39444466"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101.5</w:t>
            </w:r>
            <w:r w:rsidRPr="006D7D73">
              <w:rPr>
                <w:rFonts w:ascii="標楷體" w:eastAsia="標楷體" w:hAnsi="標楷體" w:cs="Times New Roman" w:hint="eastAsia"/>
                <w:szCs w:val="24"/>
              </w:rPr>
              <w:t>月</w:t>
            </w:r>
          </w:p>
        </w:tc>
        <w:tc>
          <w:tcPr>
            <w:tcW w:w="569" w:type="pct"/>
            <w:vAlign w:val="center"/>
          </w:tcPr>
          <w:p w14:paraId="0B00CA29"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陳美華</w:t>
            </w:r>
          </w:p>
        </w:tc>
        <w:tc>
          <w:tcPr>
            <w:tcW w:w="554" w:type="pct"/>
            <w:vAlign w:val="center"/>
          </w:tcPr>
          <w:p w14:paraId="385836D9"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17361184" w14:textId="77777777" w:rsidTr="00D66240">
        <w:trPr>
          <w:jc w:val="center"/>
        </w:trPr>
        <w:tc>
          <w:tcPr>
            <w:tcW w:w="730" w:type="pct"/>
            <w:vAlign w:val="center"/>
          </w:tcPr>
          <w:p w14:paraId="5F26139A"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434" w:type="pct"/>
            <w:vAlign w:val="center"/>
          </w:tcPr>
          <w:p w14:paraId="52CADDED"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修訂原因：配合節能減碳政策，僅寄發新生、轉學生當學期繳費單，另新增有特殊情形之辦理方式。</w:t>
            </w:r>
          </w:p>
          <w:p w14:paraId="4BB0A4EA"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52B37A5A"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（1）流程圖修改會計室印製及寄發繳費單。</w:t>
            </w:r>
          </w:p>
          <w:p w14:paraId="4A69A443"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w:t>
            </w:r>
            <w:r w:rsidRPr="006D7D73">
              <w:rPr>
                <w:rFonts w:ascii="標楷體" w:eastAsia="標楷體" w:hAnsi="標楷體" w:cs="Times New Roman"/>
                <w:szCs w:val="24"/>
              </w:rPr>
              <w:t>2.</w:t>
            </w:r>
            <w:r w:rsidRPr="006D7D73">
              <w:rPr>
                <w:rFonts w:ascii="標楷體" w:eastAsia="標楷體" w:hAnsi="標楷體" w:cs="Times New Roman" w:hint="eastAsia"/>
                <w:szCs w:val="24"/>
              </w:rPr>
              <w:t>2</w:t>
            </w:r>
            <w:r w:rsidRPr="006D7D73">
              <w:rPr>
                <w:rFonts w:ascii="標楷體" w:eastAsia="標楷體" w:hAnsi="標楷體" w:cs="Times New Roman"/>
                <w:szCs w:val="24"/>
              </w:rPr>
              <w:t>.2</w:t>
            </w:r>
            <w:r w:rsidRPr="006D7D73">
              <w:rPr>
                <w:rFonts w:ascii="標楷體" w:eastAsia="標楷體" w:hAnsi="標楷體" w:cs="Times New Roman" w:hint="eastAsia"/>
                <w:szCs w:val="24"/>
              </w:rPr>
              <w:t>.、新增2.2.3.、2.3.5.，並調整調序。</w:t>
            </w:r>
          </w:p>
        </w:tc>
        <w:tc>
          <w:tcPr>
            <w:tcW w:w="712" w:type="pct"/>
            <w:vAlign w:val="center"/>
          </w:tcPr>
          <w:p w14:paraId="51CF88D0"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w:t>
            </w:r>
            <w:r w:rsidRPr="006D7D73">
              <w:rPr>
                <w:rFonts w:ascii="標楷體" w:eastAsia="標楷體" w:hAnsi="標楷體" w:cs="Times New Roman" w:hint="eastAsia"/>
                <w:szCs w:val="24"/>
              </w:rPr>
              <w:t>2</w:t>
            </w:r>
            <w:r w:rsidRPr="006D7D73">
              <w:rPr>
                <w:rFonts w:ascii="標楷體" w:eastAsia="標楷體" w:hAnsi="標楷體" w:cs="Times New Roman"/>
                <w:szCs w:val="24"/>
              </w:rPr>
              <w:t>.</w:t>
            </w:r>
            <w:r w:rsidRPr="006D7D73">
              <w:rPr>
                <w:rFonts w:ascii="標楷體" w:eastAsia="標楷體" w:hAnsi="標楷體" w:cs="Times New Roman" w:hint="eastAsia"/>
                <w:szCs w:val="24"/>
              </w:rPr>
              <w:t>3月</w:t>
            </w:r>
          </w:p>
        </w:tc>
        <w:tc>
          <w:tcPr>
            <w:tcW w:w="569" w:type="pct"/>
            <w:vAlign w:val="center"/>
          </w:tcPr>
          <w:p w14:paraId="21C071AD"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陳美華</w:t>
            </w:r>
          </w:p>
        </w:tc>
        <w:tc>
          <w:tcPr>
            <w:tcW w:w="554" w:type="pct"/>
            <w:vAlign w:val="center"/>
          </w:tcPr>
          <w:p w14:paraId="6ED5B2B7"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4324DA05" w14:textId="77777777" w:rsidTr="00D66240">
        <w:trPr>
          <w:jc w:val="center"/>
        </w:trPr>
        <w:tc>
          <w:tcPr>
            <w:tcW w:w="730" w:type="pct"/>
            <w:vAlign w:val="center"/>
          </w:tcPr>
          <w:p w14:paraId="104AB253"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434" w:type="pct"/>
            <w:vAlign w:val="center"/>
          </w:tcPr>
          <w:p w14:paraId="1CA7C490"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1.修訂原因：外部法規註記年月日。</w:t>
            </w:r>
          </w:p>
          <w:p w14:paraId="6B2C9ACE"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2.修正處：依據及相關文件修改5.3.。</w:t>
            </w:r>
          </w:p>
          <w:p w14:paraId="293BD084" w14:textId="77777777" w:rsidR="00E74BBE" w:rsidRPr="006D7D73" w:rsidRDefault="00E74BBE" w:rsidP="000A0A62">
            <w:pPr>
              <w:spacing w:line="0" w:lineRule="atLeast"/>
              <w:jc w:val="both"/>
              <w:rPr>
                <w:rFonts w:ascii="標楷體" w:eastAsia="標楷體" w:hAnsi="標楷體" w:cs="Times New Roman"/>
                <w:szCs w:val="24"/>
              </w:rPr>
            </w:pPr>
          </w:p>
        </w:tc>
        <w:tc>
          <w:tcPr>
            <w:tcW w:w="712" w:type="pct"/>
            <w:vAlign w:val="center"/>
          </w:tcPr>
          <w:p w14:paraId="76BB1F35"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69" w:type="pct"/>
            <w:vAlign w:val="center"/>
          </w:tcPr>
          <w:p w14:paraId="03A92A7F"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呂怡靜</w:t>
            </w:r>
          </w:p>
        </w:tc>
        <w:tc>
          <w:tcPr>
            <w:tcW w:w="554" w:type="pct"/>
            <w:vAlign w:val="center"/>
          </w:tcPr>
          <w:p w14:paraId="0BCFEF88"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2C5738F6" w14:textId="77777777" w:rsidTr="00D66240">
        <w:trPr>
          <w:jc w:val="center"/>
        </w:trPr>
        <w:tc>
          <w:tcPr>
            <w:tcW w:w="730" w:type="pct"/>
            <w:vAlign w:val="center"/>
          </w:tcPr>
          <w:p w14:paraId="77CCD2B2"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5</w:t>
            </w:r>
          </w:p>
        </w:tc>
        <w:tc>
          <w:tcPr>
            <w:tcW w:w="2434" w:type="pct"/>
            <w:vAlign w:val="center"/>
          </w:tcPr>
          <w:p w14:paraId="07BBF18D"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1.修訂原因：修改文字。</w:t>
            </w:r>
          </w:p>
          <w:p w14:paraId="502E5D80"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2.修正處：作業程序修改2.1.。</w:t>
            </w:r>
          </w:p>
          <w:p w14:paraId="1DC5E8F2" w14:textId="77777777" w:rsidR="00E74BBE" w:rsidRPr="006D7D73" w:rsidRDefault="00E74BBE" w:rsidP="000A0A62">
            <w:pPr>
              <w:spacing w:line="0" w:lineRule="atLeast"/>
              <w:jc w:val="both"/>
              <w:rPr>
                <w:rFonts w:ascii="標楷體" w:eastAsia="標楷體" w:hAnsi="標楷體" w:cs="Times New Roman"/>
                <w:szCs w:val="24"/>
              </w:rPr>
            </w:pPr>
          </w:p>
        </w:tc>
        <w:tc>
          <w:tcPr>
            <w:tcW w:w="712" w:type="pct"/>
            <w:vAlign w:val="center"/>
          </w:tcPr>
          <w:p w14:paraId="4C863F8A"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105.2月</w:t>
            </w:r>
          </w:p>
        </w:tc>
        <w:tc>
          <w:tcPr>
            <w:tcW w:w="569" w:type="pct"/>
            <w:vAlign w:val="center"/>
          </w:tcPr>
          <w:p w14:paraId="554070BE"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吳玉梅</w:t>
            </w:r>
          </w:p>
        </w:tc>
        <w:tc>
          <w:tcPr>
            <w:tcW w:w="554" w:type="pct"/>
            <w:vAlign w:val="center"/>
          </w:tcPr>
          <w:p w14:paraId="2431FA2C"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4801FB7D" w14:textId="77777777" w:rsidTr="00D66240">
        <w:trPr>
          <w:jc w:val="center"/>
        </w:trPr>
        <w:tc>
          <w:tcPr>
            <w:tcW w:w="730" w:type="pct"/>
            <w:vAlign w:val="center"/>
          </w:tcPr>
          <w:p w14:paraId="2930FA14"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6</w:t>
            </w:r>
          </w:p>
        </w:tc>
        <w:tc>
          <w:tcPr>
            <w:tcW w:w="2434" w:type="pct"/>
            <w:vAlign w:val="center"/>
          </w:tcPr>
          <w:p w14:paraId="56F69A65"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1.修訂原因：配合新版內控格式修正流程圖。</w:t>
            </w:r>
          </w:p>
          <w:p w14:paraId="4D8DF952"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5AA29674"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2A72CDEA"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（2）作業程序修改2.4.4.及2.6.1.。</w:t>
            </w:r>
          </w:p>
          <w:p w14:paraId="11524175"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（3）依據及相關文件修改5.3.。</w:t>
            </w:r>
          </w:p>
        </w:tc>
        <w:tc>
          <w:tcPr>
            <w:tcW w:w="712" w:type="pct"/>
            <w:vAlign w:val="center"/>
          </w:tcPr>
          <w:p w14:paraId="1BA5E8DE"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105.10月</w:t>
            </w:r>
          </w:p>
        </w:tc>
        <w:tc>
          <w:tcPr>
            <w:tcW w:w="569" w:type="pct"/>
            <w:vAlign w:val="center"/>
          </w:tcPr>
          <w:p w14:paraId="46E34B70"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劉叔欣</w:t>
            </w:r>
          </w:p>
        </w:tc>
        <w:tc>
          <w:tcPr>
            <w:tcW w:w="554" w:type="pct"/>
            <w:vAlign w:val="center"/>
          </w:tcPr>
          <w:p w14:paraId="18D1E9C5" w14:textId="77777777" w:rsidR="00E74BBE" w:rsidRPr="006D7D73" w:rsidRDefault="00E74BBE" w:rsidP="000A0A62">
            <w:pPr>
              <w:spacing w:line="0" w:lineRule="atLeast"/>
              <w:jc w:val="center"/>
              <w:rPr>
                <w:rFonts w:ascii="標楷體" w:eastAsia="標楷體" w:hAnsi="標楷體" w:cs="Times New Roman"/>
                <w:szCs w:val="24"/>
              </w:rPr>
            </w:pPr>
          </w:p>
        </w:tc>
      </w:tr>
      <w:tr w:rsidR="00E74BBE" w:rsidRPr="006D7D73" w14:paraId="4D6A71CA" w14:textId="77777777" w:rsidTr="00D66240">
        <w:trPr>
          <w:jc w:val="center"/>
        </w:trPr>
        <w:tc>
          <w:tcPr>
            <w:tcW w:w="730" w:type="pct"/>
            <w:vAlign w:val="center"/>
          </w:tcPr>
          <w:p w14:paraId="0F19CAD9"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7</w:t>
            </w:r>
          </w:p>
        </w:tc>
        <w:tc>
          <w:tcPr>
            <w:tcW w:w="2434" w:type="pct"/>
            <w:vAlign w:val="center"/>
          </w:tcPr>
          <w:p w14:paraId="6B87918A"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1.修訂原因：依105學年度稽核委員建議修改。</w:t>
            </w:r>
          </w:p>
          <w:p w14:paraId="4AE74980" w14:textId="77777777" w:rsidR="00E74BBE" w:rsidRPr="006D7D73" w:rsidRDefault="00E74BBE" w:rsidP="000A0A62">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25FBA2C5"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（1）控制重點修改3.7.及3.9.。</w:t>
            </w:r>
          </w:p>
          <w:p w14:paraId="41A02F4A" w14:textId="77777777" w:rsidR="00E74BBE" w:rsidRPr="006D7D73" w:rsidRDefault="00E74BBE" w:rsidP="000A0A62">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（2）依據及相關文件修改5.3.。</w:t>
            </w:r>
          </w:p>
        </w:tc>
        <w:tc>
          <w:tcPr>
            <w:tcW w:w="712" w:type="pct"/>
            <w:vAlign w:val="center"/>
          </w:tcPr>
          <w:p w14:paraId="39430DEA"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106.10月</w:t>
            </w:r>
          </w:p>
        </w:tc>
        <w:tc>
          <w:tcPr>
            <w:tcW w:w="569" w:type="pct"/>
            <w:vAlign w:val="center"/>
          </w:tcPr>
          <w:p w14:paraId="5C79904A" w14:textId="77777777" w:rsidR="00E74BBE" w:rsidRPr="006D7D73" w:rsidRDefault="00E74BBE" w:rsidP="000A0A62">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劉叔欣</w:t>
            </w:r>
          </w:p>
        </w:tc>
        <w:tc>
          <w:tcPr>
            <w:tcW w:w="554" w:type="pct"/>
            <w:vAlign w:val="center"/>
          </w:tcPr>
          <w:p w14:paraId="3EA14F42" w14:textId="77777777" w:rsidR="00E74BBE" w:rsidRPr="006D7D73" w:rsidRDefault="00E74BBE" w:rsidP="000A0A62">
            <w:pPr>
              <w:spacing w:line="0" w:lineRule="atLeast"/>
              <w:jc w:val="center"/>
              <w:rPr>
                <w:rFonts w:ascii="標楷體" w:eastAsia="標楷體" w:hAnsi="標楷體" w:cs="Times New Roman"/>
                <w:szCs w:val="24"/>
              </w:rPr>
            </w:pPr>
          </w:p>
        </w:tc>
      </w:tr>
    </w:tbl>
    <w:p w14:paraId="079C31EC" w14:textId="77777777" w:rsidR="00E74BBE" w:rsidRPr="006D7D73" w:rsidRDefault="00E74BBE" w:rsidP="00360B66">
      <w:pPr>
        <w:jc w:val="right"/>
        <w:rPr>
          <w:rStyle w:val="a3"/>
          <w:rFonts w:ascii="標楷體" w:eastAsia="標楷體" w:hAnsi="標楷體"/>
          <w:sz w:val="16"/>
          <w:szCs w:val="16"/>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E33CE8E" w14:textId="77777777" w:rsidR="00E74BBE" w:rsidRPr="006D7D73" w:rsidRDefault="00E74BBE" w:rsidP="00360B66">
      <w:pPr>
        <w:rPr>
          <w:rStyle w:val="a3"/>
          <w:rFonts w:ascii="標楷體" w:eastAsia="標楷體" w:hAnsi="標楷體"/>
          <w:sz w:val="16"/>
          <w:szCs w:val="16"/>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4E80775" wp14:editId="047310A3">
                <wp:simplePos x="0" y="0"/>
                <wp:positionH relativeFrom="column">
                  <wp:posOffset>4286885</wp:posOffset>
                </wp:positionH>
                <wp:positionV relativeFrom="page">
                  <wp:posOffset>9636125</wp:posOffset>
                </wp:positionV>
                <wp:extent cx="2057400" cy="571500"/>
                <wp:effectExtent l="0" t="0" r="0" b="0"/>
                <wp:wrapNone/>
                <wp:docPr id="4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857136" w14:textId="77777777" w:rsidR="00E74BBE" w:rsidRPr="00F44813" w:rsidRDefault="00E74BBE" w:rsidP="00360B66">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7</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hint="eastAsia"/>
                                <w:sz w:val="16"/>
                                <w:szCs w:val="16"/>
                              </w:rPr>
                              <w:t>24</w:t>
                            </w:r>
                          </w:p>
                          <w:p w14:paraId="6355019A" w14:textId="77777777" w:rsidR="00E74BBE" w:rsidRPr="00F44813" w:rsidRDefault="00E74BBE" w:rsidP="00360B66">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0775" id="_x0000_t202" coordsize="21600,21600" o:spt="202" path="m,l,21600r21600,l21600,xe">
                <v:stroke joinstyle="miter"/>
                <v:path gradientshapeok="t" o:connecttype="rect"/>
              </v:shapetype>
              <v:shape id="Text Box 10" o:spid="_x0000_s1026" type="#_x0000_t202" style="position:absolute;margin-left:337.55pt;margin-top:758.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" filled="f" stroked="f" strokeweight="1pt">
                <v:textbox>
                  <w:txbxContent>
                    <w:p w14:paraId="5D857136" w14:textId="77777777" w:rsidR="00E74BBE" w:rsidRPr="00F44813" w:rsidRDefault="00E74BBE" w:rsidP="00360B66">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7</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hint="eastAsia"/>
                          <w:sz w:val="16"/>
                          <w:szCs w:val="16"/>
                        </w:rPr>
                        <w:t>24</w:t>
                      </w:r>
                    </w:p>
                    <w:p w14:paraId="6355019A" w14:textId="77777777" w:rsidR="00E74BBE" w:rsidRPr="00F44813" w:rsidRDefault="00E74BBE" w:rsidP="00360B66">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v:textbox>
                <w10:wrap anchory="page"/>
              </v:shape>
            </w:pict>
          </mc:Fallback>
        </mc:AlternateContent>
      </w:r>
      <w:r w:rsidRPr="006D7D73">
        <w:rPr>
          <w:rStyle w:val="a3"/>
          <w:rFonts w:ascii="標楷體" w:eastAsia="標楷體" w:hAnsi="標楷體"/>
          <w:sz w:val="16"/>
          <w:szCs w:val="16"/>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66"/>
        <w:gridCol w:w="1742"/>
        <w:gridCol w:w="1176"/>
        <w:gridCol w:w="1232"/>
        <w:gridCol w:w="1250"/>
      </w:tblGrid>
      <w:tr w:rsidR="00E74BBE" w:rsidRPr="006D7D73" w14:paraId="18697020"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7487CA51" w14:textId="77777777" w:rsidR="00E74BBE" w:rsidRPr="006D7D73" w:rsidRDefault="00E74BBE" w:rsidP="000A0A6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74BBE" w:rsidRPr="006D7D73" w14:paraId="5DC1F5D5" w14:textId="77777777" w:rsidTr="009A088A">
        <w:trPr>
          <w:jc w:val="center"/>
        </w:trPr>
        <w:tc>
          <w:tcPr>
            <w:tcW w:w="2235" w:type="pct"/>
            <w:tcBorders>
              <w:left w:val="single" w:sz="12" w:space="0" w:color="auto"/>
              <w:bottom w:val="single" w:sz="2" w:space="0" w:color="auto"/>
              <w:right w:val="single" w:sz="2" w:space="0" w:color="auto"/>
            </w:tcBorders>
            <w:vAlign w:val="center"/>
          </w:tcPr>
          <w:p w14:paraId="1FFF4847"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92" w:type="pct"/>
            <w:tcBorders>
              <w:left w:val="single" w:sz="2" w:space="0" w:color="auto"/>
            </w:tcBorders>
            <w:vAlign w:val="center"/>
          </w:tcPr>
          <w:p w14:paraId="1F849EAA"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02" w:type="pct"/>
            <w:vAlign w:val="center"/>
          </w:tcPr>
          <w:p w14:paraId="3DC7B58D"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31" w:type="pct"/>
            <w:vAlign w:val="center"/>
          </w:tcPr>
          <w:p w14:paraId="318CBB3D"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EF7E4E7"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640" w:type="pct"/>
            <w:tcBorders>
              <w:right w:val="single" w:sz="12" w:space="0" w:color="auto"/>
            </w:tcBorders>
            <w:vAlign w:val="center"/>
          </w:tcPr>
          <w:p w14:paraId="071578A5"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74BBE" w:rsidRPr="006D7D73" w14:paraId="6DC101AC" w14:textId="77777777" w:rsidTr="009A088A">
        <w:trPr>
          <w:trHeight w:val="663"/>
          <w:jc w:val="center"/>
        </w:trPr>
        <w:tc>
          <w:tcPr>
            <w:tcW w:w="2235" w:type="pct"/>
            <w:tcBorders>
              <w:top w:val="single" w:sz="2" w:space="0" w:color="auto"/>
              <w:left w:val="single" w:sz="12" w:space="0" w:color="auto"/>
              <w:bottom w:val="single" w:sz="12" w:space="0" w:color="auto"/>
              <w:right w:val="single" w:sz="2" w:space="0" w:color="auto"/>
            </w:tcBorders>
            <w:vAlign w:val="center"/>
          </w:tcPr>
          <w:p w14:paraId="7500C671" w14:textId="77777777" w:rsidR="00E74BBE" w:rsidRPr="006D7D73" w:rsidRDefault="00E74BBE" w:rsidP="000A0A62">
            <w:pPr>
              <w:spacing w:line="400" w:lineRule="exact"/>
              <w:jc w:val="center"/>
              <w:rPr>
                <w:rFonts w:ascii="標楷體" w:eastAsia="標楷體" w:hAnsi="標楷體" w:cs="Times New Roman"/>
                <w:b/>
                <w:szCs w:val="24"/>
              </w:rPr>
            </w:pPr>
            <w:r w:rsidRPr="006D7D73">
              <w:rPr>
                <w:rFonts w:ascii="標楷體" w:eastAsia="標楷體" w:hAnsi="標楷體" w:cs="Times New Roman" w:hint="eastAsia"/>
                <w:b/>
                <w:szCs w:val="24"/>
              </w:rPr>
              <w:t>學雜費收入與退費之管理及紀錄</w:t>
            </w:r>
          </w:p>
        </w:tc>
        <w:tc>
          <w:tcPr>
            <w:tcW w:w="892" w:type="pct"/>
            <w:tcBorders>
              <w:left w:val="single" w:sz="2" w:space="0" w:color="auto"/>
              <w:bottom w:val="single" w:sz="12" w:space="0" w:color="auto"/>
            </w:tcBorders>
            <w:vAlign w:val="center"/>
          </w:tcPr>
          <w:p w14:paraId="39C9C3A1"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602" w:type="pct"/>
            <w:tcBorders>
              <w:bottom w:val="single" w:sz="12" w:space="0" w:color="auto"/>
            </w:tcBorders>
            <w:vAlign w:val="center"/>
          </w:tcPr>
          <w:p w14:paraId="0C62C498"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1170-008</w:t>
            </w:r>
          </w:p>
        </w:tc>
        <w:tc>
          <w:tcPr>
            <w:tcW w:w="631" w:type="pct"/>
            <w:tcBorders>
              <w:bottom w:val="single" w:sz="12" w:space="0" w:color="auto"/>
            </w:tcBorders>
            <w:vAlign w:val="center"/>
          </w:tcPr>
          <w:p w14:paraId="441CAB2C"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1ADF9A6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107.01.24</w:t>
            </w:r>
          </w:p>
        </w:tc>
        <w:tc>
          <w:tcPr>
            <w:tcW w:w="640" w:type="pct"/>
            <w:tcBorders>
              <w:bottom w:val="single" w:sz="12" w:space="0" w:color="auto"/>
              <w:right w:val="single" w:sz="12" w:space="0" w:color="auto"/>
            </w:tcBorders>
            <w:vAlign w:val="center"/>
          </w:tcPr>
          <w:p w14:paraId="0F33AFC6"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4CEAFB8C"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206A1F31" w14:textId="77777777" w:rsidR="00E74BBE" w:rsidRPr="006D7D73" w:rsidRDefault="00E74BBE" w:rsidP="00360B66">
      <w:pPr>
        <w:autoSpaceDE w:val="0"/>
        <w:autoSpaceDN w:val="0"/>
        <w:jc w:val="right"/>
        <w:rPr>
          <w:rFonts w:ascii="標楷體" w:eastAsia="標楷體" w:hAnsi="標楷體" w:cs="Times New Roman"/>
          <w:b/>
          <w:szCs w:val="24"/>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223B7072" w14:textId="77777777" w:rsidR="00E74BBE" w:rsidRPr="006D7D73" w:rsidRDefault="00E74BBE" w:rsidP="00360B66">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1.流程圖：</w:t>
      </w:r>
    </w:p>
    <w:p w14:paraId="5D55907E" w14:textId="77777777" w:rsidR="00E74BBE" w:rsidRPr="006D7D73" w:rsidRDefault="00E74BBE" w:rsidP="004B40C4">
      <w:pPr>
        <w:ind w:leftChars="-59" w:hangingChars="59" w:hanging="142"/>
        <w:rPr>
          <w:rFonts w:ascii="標楷體" w:eastAsia="標楷體" w:hAnsi="標楷體" w:cs="Times New Roman"/>
          <w:szCs w:val="24"/>
        </w:rPr>
      </w:pPr>
      <w:r w:rsidRPr="006D7D73">
        <w:rPr>
          <w:rFonts w:ascii="標楷體" w:eastAsia="標楷體" w:hAnsi="標楷體"/>
        </w:rPr>
        <w:object w:dxaOrig="10289" w:dyaOrig="15060" w14:anchorId="4D51F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59pt" o:ole="">
            <v:imagedata r:id="rId4" o:title=""/>
          </v:shape>
          <o:OLEObject Type="Embed" ProgID="Visio.Drawing.11" ShapeID="_x0000_i1025" DrawAspect="Content" ObjectID="_1710883335"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4"/>
        <w:gridCol w:w="1752"/>
        <w:gridCol w:w="1182"/>
        <w:gridCol w:w="1238"/>
        <w:gridCol w:w="1180"/>
      </w:tblGrid>
      <w:tr w:rsidR="00E74BBE" w:rsidRPr="006D7D73" w14:paraId="0EF11774"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36950BC3" w14:textId="77777777" w:rsidR="00E74BBE" w:rsidRPr="006D7D73" w:rsidRDefault="00E74BBE" w:rsidP="000A0A6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74BBE" w:rsidRPr="006D7D73" w14:paraId="40E255C2" w14:textId="77777777" w:rsidTr="009A088A">
        <w:trPr>
          <w:jc w:val="center"/>
        </w:trPr>
        <w:tc>
          <w:tcPr>
            <w:tcW w:w="2260" w:type="pct"/>
            <w:tcBorders>
              <w:left w:val="single" w:sz="12" w:space="0" w:color="auto"/>
              <w:bottom w:val="single" w:sz="2" w:space="0" w:color="auto"/>
              <w:right w:val="single" w:sz="2" w:space="0" w:color="auto"/>
            </w:tcBorders>
            <w:vAlign w:val="center"/>
          </w:tcPr>
          <w:p w14:paraId="521D67ED"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97" w:type="pct"/>
            <w:tcBorders>
              <w:left w:val="single" w:sz="2" w:space="0" w:color="auto"/>
            </w:tcBorders>
            <w:vAlign w:val="center"/>
          </w:tcPr>
          <w:p w14:paraId="4D28BE12"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05" w:type="pct"/>
            <w:vAlign w:val="center"/>
          </w:tcPr>
          <w:p w14:paraId="2F10A39D"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34" w:type="pct"/>
            <w:vAlign w:val="center"/>
          </w:tcPr>
          <w:p w14:paraId="2C61872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48B3AE3"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603" w:type="pct"/>
            <w:tcBorders>
              <w:right w:val="single" w:sz="12" w:space="0" w:color="auto"/>
            </w:tcBorders>
            <w:vAlign w:val="center"/>
          </w:tcPr>
          <w:p w14:paraId="5C5EEE21"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74BBE" w:rsidRPr="006D7D73" w14:paraId="0668212E" w14:textId="77777777" w:rsidTr="009A088A">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14:paraId="4600D149" w14:textId="77777777" w:rsidR="00E74BBE" w:rsidRPr="006D7D73" w:rsidRDefault="00E74BBE" w:rsidP="000A0A62">
            <w:pPr>
              <w:spacing w:line="400" w:lineRule="exact"/>
              <w:jc w:val="center"/>
              <w:rPr>
                <w:rFonts w:ascii="標楷體" w:eastAsia="標楷體" w:hAnsi="標楷體" w:cs="Times New Roman"/>
                <w:b/>
                <w:szCs w:val="24"/>
              </w:rPr>
            </w:pPr>
            <w:r w:rsidRPr="006D7D73">
              <w:rPr>
                <w:rFonts w:ascii="標楷體" w:eastAsia="標楷體" w:hAnsi="標楷體" w:cs="Times New Roman" w:hint="eastAsia"/>
                <w:b/>
                <w:szCs w:val="24"/>
              </w:rPr>
              <w:t>學雜費收入與退費之管理及紀錄</w:t>
            </w:r>
          </w:p>
        </w:tc>
        <w:tc>
          <w:tcPr>
            <w:tcW w:w="897" w:type="pct"/>
            <w:tcBorders>
              <w:left w:val="single" w:sz="2" w:space="0" w:color="auto"/>
              <w:bottom w:val="single" w:sz="12" w:space="0" w:color="auto"/>
            </w:tcBorders>
            <w:vAlign w:val="center"/>
          </w:tcPr>
          <w:p w14:paraId="2869C73F"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605" w:type="pct"/>
            <w:tcBorders>
              <w:bottom w:val="single" w:sz="12" w:space="0" w:color="auto"/>
            </w:tcBorders>
            <w:vAlign w:val="center"/>
          </w:tcPr>
          <w:p w14:paraId="7D0D7AAC"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1170-008</w:t>
            </w:r>
          </w:p>
        </w:tc>
        <w:tc>
          <w:tcPr>
            <w:tcW w:w="634" w:type="pct"/>
            <w:tcBorders>
              <w:bottom w:val="single" w:sz="12" w:space="0" w:color="auto"/>
            </w:tcBorders>
            <w:vAlign w:val="center"/>
          </w:tcPr>
          <w:p w14:paraId="092820EF"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63841B75"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107.01.24</w:t>
            </w:r>
          </w:p>
        </w:tc>
        <w:tc>
          <w:tcPr>
            <w:tcW w:w="603" w:type="pct"/>
            <w:tcBorders>
              <w:bottom w:val="single" w:sz="12" w:space="0" w:color="auto"/>
              <w:right w:val="single" w:sz="12" w:space="0" w:color="auto"/>
            </w:tcBorders>
            <w:vAlign w:val="center"/>
          </w:tcPr>
          <w:p w14:paraId="5E1E3EE7"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4960173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63CDA705" w14:textId="77777777" w:rsidR="00E74BBE" w:rsidRPr="006D7D73" w:rsidRDefault="00E74BBE" w:rsidP="00360B66">
      <w:pPr>
        <w:autoSpaceDE w:val="0"/>
        <w:autoSpaceDN w:val="0"/>
        <w:adjustRightInd w:val="0"/>
        <w:ind w:right="28"/>
        <w:jc w:val="right"/>
        <w:textAlignment w:val="baseline"/>
        <w:rPr>
          <w:rFonts w:ascii="標楷體" w:eastAsia="標楷體" w:hAnsi="標楷體" w:cs="Times New Roman"/>
          <w:b/>
          <w:bCs/>
          <w:szCs w:val="24"/>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638D4554" w14:textId="77777777" w:rsidR="00E74BBE" w:rsidRPr="006D7D73" w:rsidRDefault="00E74BBE" w:rsidP="00360B66">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14:paraId="3DA9918A"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2.1.本校之學雜費收入包括學費、雜費、電腦使用費及學雜學分費、學分費等教育部核可向在校學生收取之收入。</w:t>
      </w:r>
    </w:p>
    <w:p w14:paraId="2D4135CC"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2.2.收費標準之議決及寄發：</w:t>
      </w:r>
    </w:p>
    <w:p w14:paraId="39B9A4B5"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2.2.1.會計室根據年度預算評估學雜費標準，並提行政會議審議通過，報教育部核准後執行，且將學雜費收費標準上網公告。</w:t>
      </w:r>
    </w:p>
    <w:p w14:paraId="21F0862D"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2.2.2.收費標準及減免金額確定後，由圖書暨資訊處轉檔產生在學名冊及應繳金額，會計室審核無誤後匯入銀行系統產生「學雜費繳費單」，印製新生、轉學生及復學生學雜費繳費單並寄發。</w:t>
      </w:r>
    </w:p>
    <w:p w14:paraId="23583EB2"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2.2.3.公告舊生下載學雜費繳費單時程。</w:t>
      </w:r>
    </w:p>
    <w:p w14:paraId="0B69FE0C"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2.2.4.加退選確定後，由教務處將其名單送圖書暨資訊處轉檔，會計室依其資料匯入銀行系統產生「學分費繳費單」，統一送交各系所，由系所分發給學生繳費。</w:t>
      </w:r>
    </w:p>
    <w:p w14:paraId="7C43BB7E"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2.3.繳費：</w:t>
      </w:r>
    </w:p>
    <w:p w14:paraId="4D7CC643"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2.3.1.銀行繳費：學生於指定之繳款期限前，逕至指定銀行之各地分行繳納完成繳費手續。會計室將銀行繳費資料，匯入本校學雜費資料處理系統。</w:t>
      </w:r>
    </w:p>
    <w:p w14:paraId="46CECAFC"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2.3.2.現金繳費：學生於本校出納繳款，出納須將其資料輸入本校學雜費資料處理系統。</w:t>
      </w:r>
    </w:p>
    <w:p w14:paraId="064E0CCD"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2.3.3.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14:paraId="7B4DD37C"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2.3.4.學生於註冊日，經由教務處查詢本校學雜費資料處理系統無誤後，完成繳費註冊手續。</w:t>
      </w:r>
    </w:p>
    <w:p w14:paraId="73B73308"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2.3.5.有特殊情形者，依核定後簽呈辦理。</w:t>
      </w:r>
    </w:p>
    <w:p w14:paraId="562DA4D4"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2.4.編收款清單及登帳：</w:t>
      </w:r>
    </w:p>
    <w:p w14:paraId="30193AA6"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2.4.1.出納依每日收款收據（現金）、銀行匯入紀錄（銀行）併同黏存單，送交會計室。</w:t>
      </w:r>
    </w:p>
    <w:p w14:paraId="52EBBFC8"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2.4.2.會計室核對出納收款收據（現金）與本校學雜費資料處理系統，以及核對出納銀行匯入紀錄（銀行）及銀行系統的收入統計表，無誤後列帳預收學雜費。</w:t>
      </w:r>
    </w:p>
    <w:p w14:paraId="39292E74"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2.4.3.待銀行銷帳後，會計室依銀行銷帳清冊報表，將預收學雜費科目轉列為學雜費收入。</w:t>
      </w:r>
    </w:p>
    <w:p w14:paraId="7BE7E6F6"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2.4.4.就學貸款待銀行撥付後，承認學雜費收入。</w:t>
      </w:r>
    </w:p>
    <w:p w14:paraId="0A946EDF"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24"/>
        <w:gridCol w:w="1740"/>
        <w:gridCol w:w="1174"/>
        <w:gridCol w:w="1231"/>
        <w:gridCol w:w="1397"/>
      </w:tblGrid>
      <w:tr w:rsidR="00E74BBE" w:rsidRPr="006D7D73" w14:paraId="47D2DF91"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7B6E0C18" w14:textId="77777777" w:rsidR="00E74BBE" w:rsidRPr="006D7D73" w:rsidRDefault="00E74BBE" w:rsidP="000A0A6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74BBE" w:rsidRPr="006D7D73" w14:paraId="0CCDA4AD" w14:textId="77777777" w:rsidTr="009A088A">
        <w:trPr>
          <w:jc w:val="center"/>
        </w:trPr>
        <w:tc>
          <w:tcPr>
            <w:tcW w:w="2163" w:type="pct"/>
            <w:tcBorders>
              <w:left w:val="single" w:sz="12" w:space="0" w:color="auto"/>
              <w:bottom w:val="single" w:sz="2" w:space="0" w:color="auto"/>
              <w:right w:val="single" w:sz="2" w:space="0" w:color="auto"/>
            </w:tcBorders>
            <w:vAlign w:val="center"/>
          </w:tcPr>
          <w:p w14:paraId="7FD79869"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91" w:type="pct"/>
            <w:tcBorders>
              <w:left w:val="single" w:sz="2" w:space="0" w:color="auto"/>
            </w:tcBorders>
            <w:vAlign w:val="center"/>
          </w:tcPr>
          <w:p w14:paraId="0CFEF314"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01" w:type="pct"/>
            <w:vAlign w:val="center"/>
          </w:tcPr>
          <w:p w14:paraId="2BBFEE5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30" w:type="pct"/>
            <w:vAlign w:val="center"/>
          </w:tcPr>
          <w:p w14:paraId="7D27D359"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BE409A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715" w:type="pct"/>
            <w:tcBorders>
              <w:right w:val="single" w:sz="12" w:space="0" w:color="auto"/>
            </w:tcBorders>
            <w:vAlign w:val="center"/>
          </w:tcPr>
          <w:p w14:paraId="7653ED90"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74BBE" w:rsidRPr="006D7D73" w14:paraId="6B8EDC96" w14:textId="77777777" w:rsidTr="009A088A">
        <w:trPr>
          <w:trHeight w:val="663"/>
          <w:jc w:val="center"/>
        </w:trPr>
        <w:tc>
          <w:tcPr>
            <w:tcW w:w="2163" w:type="pct"/>
            <w:tcBorders>
              <w:top w:val="single" w:sz="2" w:space="0" w:color="auto"/>
              <w:left w:val="single" w:sz="12" w:space="0" w:color="auto"/>
              <w:bottom w:val="single" w:sz="12" w:space="0" w:color="auto"/>
              <w:right w:val="single" w:sz="2" w:space="0" w:color="auto"/>
            </w:tcBorders>
            <w:vAlign w:val="center"/>
          </w:tcPr>
          <w:p w14:paraId="483341F6" w14:textId="77777777" w:rsidR="00E74BBE" w:rsidRPr="006D7D73" w:rsidRDefault="00E74BBE" w:rsidP="000A0A62">
            <w:pPr>
              <w:spacing w:line="400" w:lineRule="exact"/>
              <w:jc w:val="center"/>
              <w:rPr>
                <w:rFonts w:ascii="標楷體" w:eastAsia="標楷體" w:hAnsi="標楷體" w:cs="Times New Roman"/>
                <w:b/>
                <w:szCs w:val="24"/>
              </w:rPr>
            </w:pPr>
            <w:r w:rsidRPr="006D7D73">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14:paraId="71764E49"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601" w:type="pct"/>
            <w:tcBorders>
              <w:bottom w:val="single" w:sz="12" w:space="0" w:color="auto"/>
            </w:tcBorders>
            <w:vAlign w:val="center"/>
          </w:tcPr>
          <w:p w14:paraId="62A63124"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1170-008</w:t>
            </w:r>
          </w:p>
        </w:tc>
        <w:tc>
          <w:tcPr>
            <w:tcW w:w="630" w:type="pct"/>
            <w:tcBorders>
              <w:bottom w:val="single" w:sz="12" w:space="0" w:color="auto"/>
            </w:tcBorders>
            <w:vAlign w:val="center"/>
          </w:tcPr>
          <w:p w14:paraId="1CB81E34"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5E6B687C"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107.01.24</w:t>
            </w:r>
          </w:p>
        </w:tc>
        <w:tc>
          <w:tcPr>
            <w:tcW w:w="715" w:type="pct"/>
            <w:tcBorders>
              <w:bottom w:val="single" w:sz="12" w:space="0" w:color="auto"/>
              <w:right w:val="single" w:sz="12" w:space="0" w:color="auto"/>
            </w:tcBorders>
            <w:vAlign w:val="center"/>
          </w:tcPr>
          <w:p w14:paraId="599454B5"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2A8280A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62B156BC" w14:textId="77777777" w:rsidR="00E74BBE" w:rsidRPr="006D7D73" w:rsidRDefault="00E74BBE" w:rsidP="009B1871">
      <w:pPr>
        <w:tabs>
          <w:tab w:val="left" w:pos="960"/>
        </w:tabs>
        <w:adjustRightInd w:val="0"/>
        <w:ind w:leftChars="100" w:left="560" w:hangingChars="200" w:hanging="320"/>
        <w:jc w:val="right"/>
        <w:textAlignment w:val="baseline"/>
        <w:rPr>
          <w:rFonts w:ascii="標楷體" w:eastAsia="標楷體" w:hAnsi="標楷體" w:cs="Times New Roman"/>
          <w:szCs w:val="24"/>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8594808" w14:textId="77777777" w:rsidR="00E74BBE" w:rsidRPr="006D7D73" w:rsidRDefault="00E74BBE" w:rsidP="00360B66">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2.5.差異追查與催繳：</w:t>
      </w:r>
    </w:p>
    <w:p w14:paraId="242D3DAA"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2.5.1.會計室依據本校學雜費資料處理系統，產生學雜費（學分費）應收清冊據以催繳，並追查發生差異之原因。</w:t>
      </w:r>
    </w:p>
    <w:p w14:paraId="76A365AA"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2.5.2.應收學雜費（學分費）清冊送交各系所，由系所通知學生補繳。</w:t>
      </w:r>
    </w:p>
    <w:p w14:paraId="758032D3"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2.6.退費：</w:t>
      </w:r>
    </w:p>
    <w:p w14:paraId="522AC376"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2.6.1.休退學者辦理退費時，會計室查詢本校學雜費資料處理系統，確認是否有繳費，並依據專科以上學校學雜費收取辦法計算退費金額。</w:t>
      </w:r>
    </w:p>
    <w:p w14:paraId="4D99549E" w14:textId="77777777" w:rsidR="00E74BBE" w:rsidRPr="006D7D73" w:rsidRDefault="00E74BBE" w:rsidP="00360B66">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2.6.2.教務處製作黏存單併同休退學者之繳費收據送交會計室，會計室審核憑證並製作傳票，核准後送出納付款。</w:t>
      </w:r>
    </w:p>
    <w:p w14:paraId="0E500792" w14:textId="77777777" w:rsidR="00E74BBE" w:rsidRPr="006D7D73" w:rsidRDefault="00E74BBE" w:rsidP="00360B66">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3.控制重點：</w:t>
      </w:r>
    </w:p>
    <w:p w14:paraId="2F3F1B2C"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3.1.學年度學雜費收費標準，是否經行政會議審議通過並報教育部核准後執行，且將學雜費收費標準上網公告通知。</w:t>
      </w:r>
    </w:p>
    <w:p w14:paraId="23022421"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3.2.所印製學雜費（學分費）繳費單，是否與已核定學雜費收費標準相同。</w:t>
      </w:r>
    </w:p>
    <w:p w14:paraId="2430C1DC"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3.3.出納是否將每日收款資料（現金），匯入本校學雜費資料處理系統。</w:t>
      </w:r>
    </w:p>
    <w:p w14:paraId="7D89CD6A"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3.4.出納的銀行匯入紀錄（銀行）與會計室的銀行系統的學雜費收入統計表，是否每日金額一致。</w:t>
      </w:r>
    </w:p>
    <w:p w14:paraId="2A9A5A10"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3.5.銀行實際撥付就學貸款金額，與學生事務處匯入本校學雜費資料處理系統之就學貸款資料，是否金額一致。</w:t>
      </w:r>
    </w:p>
    <w:p w14:paraId="7E7DE9B5"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3.6.會計室核對銀行銷帳資料無誤後，是否將預收學雜費科目轉為學雜費收入。</w:t>
      </w:r>
    </w:p>
    <w:p w14:paraId="3F7BB30C"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rPr>
      </w:pPr>
      <w:r w:rsidRPr="006D7D73">
        <w:rPr>
          <w:rFonts w:ascii="標楷體" w:eastAsia="標楷體" w:hAnsi="標楷體" w:cs="Times New Roman" w:hint="eastAsia"/>
          <w:szCs w:val="24"/>
        </w:rPr>
        <w:t>3.7.未繳費學生，會計室是否通知系所協助催收及清冊列管，</w:t>
      </w:r>
      <w:r w:rsidRPr="006D7D73">
        <w:rPr>
          <w:rFonts w:ascii="標楷體" w:eastAsia="標楷體" w:hAnsi="標楷體" w:hint="eastAsia"/>
        </w:rPr>
        <w:t>第一次催收時間為教務處學生人數報部前1週，之後每月催收一次。</w:t>
      </w:r>
    </w:p>
    <w:p w14:paraId="0790BB97"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3.8.久懸帳上之催收款，是否積極清理。</w:t>
      </w:r>
    </w:p>
    <w:p w14:paraId="5679365E"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3.9.學雜費休退學退費計算標準是否依</w:t>
      </w:r>
      <w:r w:rsidRPr="006D7D73">
        <w:rPr>
          <w:rFonts w:ascii="標楷體" w:eastAsia="標楷體" w:hAnsi="標楷體" w:hint="eastAsia"/>
        </w:rPr>
        <w:t>專科以上學校學雜費收取辦法</w:t>
      </w:r>
      <w:r w:rsidRPr="006D7D73">
        <w:rPr>
          <w:rFonts w:ascii="標楷體" w:eastAsia="標楷體" w:hAnsi="標楷體" w:cs="Times New Roman" w:hint="eastAsia"/>
          <w:szCs w:val="24"/>
        </w:rPr>
        <w:t>辦理。</w:t>
      </w:r>
    </w:p>
    <w:p w14:paraId="03279BEE" w14:textId="77777777" w:rsidR="00E74BBE" w:rsidRPr="006D7D73" w:rsidRDefault="00E74BBE" w:rsidP="00360B66">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14:paraId="21959C88"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4.1.學雜費（學分費）繳費單。</w:t>
      </w:r>
    </w:p>
    <w:p w14:paraId="03A2C130"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4.2.收入統計表。</w:t>
      </w:r>
    </w:p>
    <w:p w14:paraId="15DA0643"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4.3.學雜費銷帳繳費清冊。</w:t>
      </w:r>
    </w:p>
    <w:p w14:paraId="682EF82D"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4.4.註冊學生名單。</w:t>
      </w:r>
    </w:p>
    <w:p w14:paraId="6CF3CD42"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4.5.應收學雜費（學分費）清冊。</w:t>
      </w:r>
    </w:p>
    <w:p w14:paraId="601640EE"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3"/>
        <w:gridCol w:w="1740"/>
        <w:gridCol w:w="1174"/>
        <w:gridCol w:w="1231"/>
        <w:gridCol w:w="1238"/>
      </w:tblGrid>
      <w:tr w:rsidR="00E74BBE" w:rsidRPr="006D7D73" w14:paraId="4FD47AF4"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50C5D04A" w14:textId="77777777" w:rsidR="00E74BBE" w:rsidRPr="006D7D73" w:rsidRDefault="00E74BBE" w:rsidP="000A0A6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74BBE" w:rsidRPr="006D7D73" w14:paraId="63E0D080" w14:textId="77777777" w:rsidTr="009A088A">
        <w:trPr>
          <w:jc w:val="center"/>
        </w:trPr>
        <w:tc>
          <w:tcPr>
            <w:tcW w:w="2244" w:type="pct"/>
            <w:tcBorders>
              <w:left w:val="single" w:sz="12" w:space="0" w:color="auto"/>
              <w:bottom w:val="single" w:sz="2" w:space="0" w:color="auto"/>
              <w:right w:val="single" w:sz="2" w:space="0" w:color="auto"/>
            </w:tcBorders>
            <w:vAlign w:val="center"/>
          </w:tcPr>
          <w:p w14:paraId="257DB4D7"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91" w:type="pct"/>
            <w:tcBorders>
              <w:left w:val="single" w:sz="2" w:space="0" w:color="auto"/>
            </w:tcBorders>
            <w:vAlign w:val="center"/>
          </w:tcPr>
          <w:p w14:paraId="628F598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01" w:type="pct"/>
            <w:vAlign w:val="center"/>
          </w:tcPr>
          <w:p w14:paraId="306B279A"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30" w:type="pct"/>
            <w:vAlign w:val="center"/>
          </w:tcPr>
          <w:p w14:paraId="19DB0D53"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39ADC7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634" w:type="pct"/>
            <w:tcBorders>
              <w:right w:val="single" w:sz="12" w:space="0" w:color="auto"/>
            </w:tcBorders>
            <w:vAlign w:val="center"/>
          </w:tcPr>
          <w:p w14:paraId="67091E6B"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74BBE" w:rsidRPr="006D7D73" w14:paraId="1EC8C9BC" w14:textId="77777777" w:rsidTr="009A088A">
        <w:trPr>
          <w:trHeight w:val="663"/>
          <w:jc w:val="center"/>
        </w:trPr>
        <w:tc>
          <w:tcPr>
            <w:tcW w:w="2244" w:type="pct"/>
            <w:tcBorders>
              <w:top w:val="single" w:sz="2" w:space="0" w:color="auto"/>
              <w:left w:val="single" w:sz="12" w:space="0" w:color="auto"/>
              <w:bottom w:val="single" w:sz="12" w:space="0" w:color="auto"/>
              <w:right w:val="single" w:sz="2" w:space="0" w:color="auto"/>
            </w:tcBorders>
            <w:vAlign w:val="center"/>
          </w:tcPr>
          <w:p w14:paraId="42ABB257" w14:textId="77777777" w:rsidR="00E74BBE" w:rsidRPr="006D7D73" w:rsidRDefault="00E74BBE" w:rsidP="000A0A62">
            <w:pPr>
              <w:spacing w:line="400" w:lineRule="exact"/>
              <w:jc w:val="center"/>
              <w:rPr>
                <w:rFonts w:ascii="標楷體" w:eastAsia="標楷體" w:hAnsi="標楷體" w:cs="Times New Roman"/>
                <w:b/>
                <w:szCs w:val="24"/>
              </w:rPr>
            </w:pPr>
            <w:r w:rsidRPr="006D7D73">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14:paraId="4FE58667"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601" w:type="pct"/>
            <w:tcBorders>
              <w:bottom w:val="single" w:sz="12" w:space="0" w:color="auto"/>
            </w:tcBorders>
            <w:vAlign w:val="center"/>
          </w:tcPr>
          <w:p w14:paraId="3361EC3E"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1170-008</w:t>
            </w:r>
          </w:p>
        </w:tc>
        <w:tc>
          <w:tcPr>
            <w:tcW w:w="630" w:type="pct"/>
            <w:tcBorders>
              <w:bottom w:val="single" w:sz="12" w:space="0" w:color="auto"/>
            </w:tcBorders>
            <w:vAlign w:val="center"/>
          </w:tcPr>
          <w:p w14:paraId="4EB0E3A9"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07</w:t>
            </w:r>
            <w:r w:rsidRPr="006D7D73">
              <w:rPr>
                <w:rFonts w:ascii="標楷體" w:eastAsia="標楷體" w:hAnsi="標楷體"/>
                <w:sz w:val="20"/>
                <w:szCs w:val="20"/>
              </w:rPr>
              <w:t>/</w:t>
            </w:r>
          </w:p>
          <w:p w14:paraId="731A9BC4"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107.01.24</w:t>
            </w:r>
          </w:p>
        </w:tc>
        <w:tc>
          <w:tcPr>
            <w:tcW w:w="634" w:type="pct"/>
            <w:tcBorders>
              <w:bottom w:val="single" w:sz="12" w:space="0" w:color="auto"/>
              <w:right w:val="single" w:sz="12" w:space="0" w:color="auto"/>
            </w:tcBorders>
            <w:vAlign w:val="center"/>
          </w:tcPr>
          <w:p w14:paraId="5ED69215"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4</w:t>
            </w:r>
            <w:r w:rsidRPr="006D7D73">
              <w:rPr>
                <w:rFonts w:ascii="標楷體" w:eastAsia="標楷體" w:hAnsi="標楷體"/>
                <w:sz w:val="20"/>
                <w:szCs w:val="20"/>
              </w:rPr>
              <w:t>頁/</w:t>
            </w:r>
          </w:p>
          <w:p w14:paraId="68AF0E69" w14:textId="77777777" w:rsidR="00E74BBE" w:rsidRPr="006D7D73" w:rsidRDefault="00E74BBE" w:rsidP="000A0A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17EFE0E1" w14:textId="77777777" w:rsidR="00E74BBE" w:rsidRPr="006D7D73" w:rsidRDefault="00E74BBE" w:rsidP="009B1871">
      <w:pPr>
        <w:tabs>
          <w:tab w:val="left" w:pos="960"/>
        </w:tabs>
        <w:adjustRightInd w:val="0"/>
        <w:ind w:leftChars="100" w:left="560" w:hangingChars="200" w:hanging="320"/>
        <w:jc w:val="right"/>
        <w:textAlignment w:val="baseline"/>
        <w:rPr>
          <w:rFonts w:ascii="標楷體" w:eastAsia="標楷體" w:hAnsi="標楷體" w:cs="Times New Roman"/>
          <w:szCs w:val="24"/>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6892D853" w14:textId="77777777" w:rsidR="00E74BBE" w:rsidRPr="006D7D73" w:rsidRDefault="00E74BBE" w:rsidP="00360B66">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p>
    <w:p w14:paraId="6481D805"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5.1.佛光大學學生註冊須知。</w:t>
      </w:r>
    </w:p>
    <w:p w14:paraId="644918EC" w14:textId="77777777" w:rsidR="00E74BBE" w:rsidRPr="006D7D73" w:rsidRDefault="00E74BBE" w:rsidP="00360B6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5.2.佛光大學學則。</w:t>
      </w:r>
    </w:p>
    <w:p w14:paraId="634DFF28" w14:textId="77777777" w:rsidR="00E74BBE" w:rsidRPr="006D7D73" w:rsidRDefault="00E74BBE" w:rsidP="00360B66">
      <w:pPr>
        <w:widowControl/>
        <w:tabs>
          <w:tab w:val="left" w:pos="960"/>
        </w:tabs>
        <w:adjustRightInd w:val="0"/>
        <w:ind w:leftChars="100" w:left="720" w:hangingChars="200" w:hanging="480"/>
        <w:jc w:val="both"/>
        <w:textAlignment w:val="baseline"/>
        <w:rPr>
          <w:rFonts w:ascii="標楷體" w:eastAsia="標楷體" w:hAnsi="標楷體" w:cs="Times New Roman"/>
          <w:b/>
          <w:szCs w:val="24"/>
        </w:rPr>
      </w:pPr>
      <w:r w:rsidRPr="006D7D73">
        <w:rPr>
          <w:rFonts w:ascii="標楷體" w:eastAsia="標楷體" w:hAnsi="標楷體" w:cs="Times New Roman" w:hint="eastAsia"/>
          <w:szCs w:val="24"/>
        </w:rPr>
        <w:t>5.3.</w:t>
      </w:r>
      <w:r w:rsidRPr="006D7D73">
        <w:rPr>
          <w:rFonts w:ascii="標楷體" w:eastAsia="標楷體" w:hAnsi="標楷體" w:hint="eastAsia"/>
        </w:rPr>
        <w:t>專科以上學校學雜費收取辦法（106.4.19）之第15條辦理。</w:t>
      </w:r>
    </w:p>
    <w:p w14:paraId="4242912D" w14:textId="77777777" w:rsidR="00E74BBE" w:rsidRPr="006D7D73" w:rsidRDefault="00E74BBE" w:rsidP="005C0747">
      <w:pPr>
        <w:tabs>
          <w:tab w:val="left" w:pos="960"/>
        </w:tabs>
        <w:adjustRightInd w:val="0"/>
        <w:ind w:leftChars="100" w:left="720" w:hangingChars="200" w:hanging="480"/>
        <w:jc w:val="both"/>
        <w:textAlignment w:val="baseline"/>
        <w:rPr>
          <w:rFonts w:ascii="標楷體" w:eastAsia="標楷體" w:hAnsi="標楷體"/>
        </w:rPr>
      </w:pPr>
      <w:r w:rsidRPr="006D7D73">
        <w:rPr>
          <w:rFonts w:ascii="標楷體" w:eastAsia="標楷體" w:hAnsi="標楷體"/>
        </w:rPr>
        <w:br w:type="page"/>
      </w:r>
    </w:p>
    <w:p w14:paraId="0EC8378E" w14:textId="77777777" w:rsidR="00E74BBE" w:rsidRDefault="00E74BBE" w:rsidP="009A088A">
      <w:pPr>
        <w:sectPr w:rsidR="00E74BBE" w:rsidSect="00A51322">
          <w:type w:val="continuous"/>
          <w:pgSz w:w="11906" w:h="16838"/>
          <w:pgMar w:top="1134" w:right="1134" w:bottom="1134" w:left="1134" w:header="851" w:footer="567" w:gutter="0"/>
          <w:cols w:space="425"/>
          <w:docGrid w:type="lines" w:linePitch="360"/>
        </w:sectPr>
      </w:pPr>
    </w:p>
    <w:p w14:paraId="3207EBA6" w14:textId="77777777" w:rsidR="00E64D5B" w:rsidRDefault="00E64D5B"/>
    <w:sectPr w:rsidR="00E64D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BE"/>
    <w:rsid w:val="00B93D11"/>
    <w:rsid w:val="00E64D5B"/>
    <w:rsid w:val="00E74B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74B8"/>
  <w15:chartTrackingRefBased/>
  <w15:docId w15:val="{94052111-5B43-47BF-A642-8D7BEB32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E74BB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4BBE"/>
    <w:rPr>
      <w:color w:val="0563C1" w:themeColor="hyperlink"/>
      <w:u w:val="single"/>
    </w:rPr>
  </w:style>
  <w:style w:type="paragraph" w:customStyle="1" w:styleId="31">
    <w:name w:val="標題3"/>
    <w:basedOn w:val="3"/>
    <w:next w:val="3"/>
    <w:link w:val="32"/>
    <w:qFormat/>
    <w:rsid w:val="00E74BBE"/>
    <w:pPr>
      <w:spacing w:line="0" w:lineRule="atLeast"/>
      <w:jc w:val="both"/>
    </w:pPr>
    <w:rPr>
      <w:rFonts w:ascii="標楷體" w:eastAsia="標楷體" w:hAnsi="標楷體"/>
      <w:sz w:val="28"/>
      <w:szCs w:val="28"/>
    </w:rPr>
  </w:style>
  <w:style w:type="character" w:customStyle="1" w:styleId="32">
    <w:name w:val="標題3 字元"/>
    <w:basedOn w:val="a0"/>
    <w:link w:val="31"/>
    <w:rsid w:val="00E74BBE"/>
    <w:rPr>
      <w:rFonts w:ascii="標楷體" w:eastAsia="標楷體" w:hAnsi="標楷體" w:cstheme="majorBidi"/>
      <w:b/>
      <w:bCs/>
      <w:sz w:val="28"/>
      <w:szCs w:val="28"/>
    </w:rPr>
  </w:style>
  <w:style w:type="character" w:customStyle="1" w:styleId="30">
    <w:name w:val="標題 3 字元"/>
    <w:basedOn w:val="a0"/>
    <w:link w:val="3"/>
    <w:uiPriority w:val="9"/>
    <w:semiHidden/>
    <w:rsid w:val="00E74BB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72173173.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2022-04-07T16:31:00Z</dcterms:created>
  <dcterms:modified xsi:type="dcterms:W3CDTF">2022-04-07T16:36:00Z</dcterms:modified>
</cp:coreProperties>
</file>