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944B" w14:textId="77777777" w:rsidR="00506EE4" w:rsidRPr="006D7D73" w:rsidRDefault="00506EE4" w:rsidP="002702BE">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4996"/>
        <w:gridCol w:w="1093"/>
        <w:gridCol w:w="1093"/>
        <w:gridCol w:w="1086"/>
      </w:tblGrid>
      <w:tr w:rsidR="00506EE4" w:rsidRPr="006D7D73" w14:paraId="37171018" w14:textId="77777777" w:rsidTr="00901871">
        <w:trPr>
          <w:jc w:val="center"/>
        </w:trPr>
        <w:tc>
          <w:tcPr>
            <w:tcW w:w="697" w:type="pct"/>
            <w:vAlign w:val="center"/>
          </w:tcPr>
          <w:p w14:paraId="2E470D23" w14:textId="77777777" w:rsidR="00506EE4" w:rsidRPr="006D7D73" w:rsidRDefault="00506EE4"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性侵害性騷擾或性霸凌事件—申復作業"/>
        <w:tc>
          <w:tcPr>
            <w:tcW w:w="2600" w:type="pct"/>
            <w:vAlign w:val="center"/>
          </w:tcPr>
          <w:p w14:paraId="76CFD659" w14:textId="77777777" w:rsidR="00506EE4" w:rsidRPr="006D7D73" w:rsidRDefault="00506EE4" w:rsidP="002702BE">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學生事務處</w:instrText>
            </w:r>
            <w:r w:rsidRPr="006D7D73">
              <w:instrText xml:space="preserve">" </w:instrText>
            </w:r>
            <w:r w:rsidRPr="006D7D73">
              <w:fldChar w:fldCharType="separate"/>
            </w:r>
            <w:bookmarkStart w:id="1" w:name="_Toc92798112"/>
            <w:bookmarkStart w:id="2" w:name="_Toc99130116"/>
            <w:r w:rsidRPr="006D7D73">
              <w:rPr>
                <w:rStyle w:val="a3"/>
                <w:rFonts w:hint="eastAsia"/>
              </w:rPr>
              <w:t>1</w:t>
            </w:r>
            <w:r w:rsidRPr="006D7D73">
              <w:rPr>
                <w:rStyle w:val="a3"/>
              </w:rPr>
              <w:t>120-0</w:t>
            </w:r>
            <w:r w:rsidRPr="006D7D73">
              <w:rPr>
                <w:rStyle w:val="a3"/>
                <w:rFonts w:hint="eastAsia"/>
              </w:rPr>
              <w:t>28-2性侵害性騷擾或性霸凌事件—申復作業</w:t>
            </w:r>
            <w:bookmarkEnd w:id="1"/>
            <w:bookmarkEnd w:id="2"/>
            <w:r w:rsidRPr="006D7D73">
              <w:fldChar w:fldCharType="end"/>
            </w:r>
            <w:bookmarkEnd w:id="0"/>
          </w:p>
        </w:tc>
        <w:tc>
          <w:tcPr>
            <w:tcW w:w="569" w:type="pct"/>
            <w:vAlign w:val="center"/>
          </w:tcPr>
          <w:p w14:paraId="1E5EFDFC" w14:textId="77777777" w:rsidR="00506EE4" w:rsidRPr="006D7D73" w:rsidRDefault="00506EE4"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34" w:type="pct"/>
            <w:gridSpan w:val="2"/>
            <w:vAlign w:val="center"/>
          </w:tcPr>
          <w:p w14:paraId="3D426485" w14:textId="77777777" w:rsidR="00506EE4" w:rsidRPr="006D7D73" w:rsidRDefault="00506EE4" w:rsidP="004B5B93">
            <w:pPr>
              <w:spacing w:line="0" w:lineRule="atLeast"/>
              <w:rPr>
                <w:rFonts w:ascii="標楷體" w:eastAsia="標楷體" w:hAnsi="標楷體"/>
                <w:b/>
                <w:sz w:val="28"/>
                <w:szCs w:val="28"/>
              </w:rPr>
            </w:pPr>
            <w:r w:rsidRPr="006D7D73">
              <w:rPr>
                <w:rFonts w:ascii="標楷體" w:eastAsia="標楷體" w:hAnsi="標楷體" w:hint="eastAsia"/>
                <w:b/>
                <w:sz w:val="28"/>
                <w:szCs w:val="28"/>
              </w:rPr>
              <w:t>學生事務處</w:t>
            </w:r>
          </w:p>
        </w:tc>
      </w:tr>
      <w:tr w:rsidR="00506EE4" w:rsidRPr="006D7D73" w14:paraId="6CB62F06" w14:textId="77777777" w:rsidTr="00901871">
        <w:trPr>
          <w:jc w:val="center"/>
        </w:trPr>
        <w:tc>
          <w:tcPr>
            <w:tcW w:w="697" w:type="pct"/>
            <w:vAlign w:val="center"/>
          </w:tcPr>
          <w:p w14:paraId="0AD13107" w14:textId="77777777" w:rsidR="00506EE4" w:rsidRPr="006D7D73" w:rsidRDefault="00506EE4"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600" w:type="pct"/>
            <w:vAlign w:val="center"/>
          </w:tcPr>
          <w:p w14:paraId="165297E3" w14:textId="77777777" w:rsidR="00506EE4" w:rsidRPr="006D7D73" w:rsidRDefault="00506EE4"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569" w:type="pct"/>
            <w:vAlign w:val="center"/>
          </w:tcPr>
          <w:p w14:paraId="799997BC" w14:textId="77777777" w:rsidR="00506EE4" w:rsidRPr="006D7D73" w:rsidRDefault="00506EE4"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69" w:type="pct"/>
            <w:vAlign w:val="center"/>
          </w:tcPr>
          <w:p w14:paraId="145EF0F3" w14:textId="77777777" w:rsidR="00506EE4" w:rsidRPr="006D7D73" w:rsidRDefault="00506EE4"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65" w:type="pct"/>
            <w:vAlign w:val="center"/>
          </w:tcPr>
          <w:p w14:paraId="194E5240" w14:textId="77777777" w:rsidR="00506EE4" w:rsidRPr="006D7D73" w:rsidRDefault="00506EE4" w:rsidP="004B5B93">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506EE4" w:rsidRPr="006D7D73" w14:paraId="0B289099" w14:textId="77777777" w:rsidTr="00901871">
        <w:trPr>
          <w:jc w:val="center"/>
        </w:trPr>
        <w:tc>
          <w:tcPr>
            <w:tcW w:w="697" w:type="pct"/>
            <w:vAlign w:val="center"/>
          </w:tcPr>
          <w:p w14:paraId="2436E7DA" w14:textId="77777777" w:rsidR="00506EE4" w:rsidRPr="006D7D73" w:rsidRDefault="00506EE4" w:rsidP="004B5B93">
            <w:pPr>
              <w:spacing w:line="0" w:lineRule="atLeast"/>
              <w:jc w:val="center"/>
              <w:rPr>
                <w:rFonts w:ascii="標楷體" w:eastAsia="標楷體" w:hAnsi="標楷體"/>
              </w:rPr>
            </w:pPr>
            <w:r w:rsidRPr="006D7D73">
              <w:rPr>
                <w:rFonts w:ascii="標楷體" w:eastAsia="標楷體" w:hAnsi="標楷體" w:hint="eastAsia"/>
              </w:rPr>
              <w:t>1</w:t>
            </w:r>
          </w:p>
        </w:tc>
        <w:tc>
          <w:tcPr>
            <w:tcW w:w="2600" w:type="pct"/>
          </w:tcPr>
          <w:p w14:paraId="6969549C" w14:textId="77777777" w:rsidR="00506EE4" w:rsidRPr="006D7D73" w:rsidRDefault="00506EE4" w:rsidP="004B5B93">
            <w:pPr>
              <w:spacing w:line="0" w:lineRule="atLeast"/>
              <w:rPr>
                <w:rFonts w:ascii="標楷體" w:eastAsia="標楷體" w:hAnsi="標楷體"/>
              </w:rPr>
            </w:pPr>
          </w:p>
          <w:p w14:paraId="08DFCA47" w14:textId="77777777" w:rsidR="00506EE4" w:rsidRPr="006D7D73" w:rsidRDefault="00506EE4" w:rsidP="004B5B93">
            <w:pPr>
              <w:spacing w:line="0" w:lineRule="atLeast"/>
              <w:rPr>
                <w:rFonts w:ascii="標楷體" w:eastAsia="標楷體" w:hAnsi="標楷體"/>
              </w:rPr>
            </w:pPr>
            <w:r w:rsidRPr="006D7D73">
              <w:rPr>
                <w:rFonts w:ascii="標楷體" w:eastAsia="標楷體" w:hAnsi="標楷體" w:hint="eastAsia"/>
              </w:rPr>
              <w:t>新訂</w:t>
            </w:r>
          </w:p>
          <w:p w14:paraId="0C5FC4F6" w14:textId="77777777" w:rsidR="00506EE4" w:rsidRPr="006D7D73" w:rsidRDefault="00506EE4" w:rsidP="004B5B93">
            <w:pPr>
              <w:spacing w:line="0" w:lineRule="atLeast"/>
              <w:rPr>
                <w:rFonts w:ascii="標楷體" w:eastAsia="標楷體" w:hAnsi="標楷體"/>
              </w:rPr>
            </w:pPr>
          </w:p>
        </w:tc>
        <w:tc>
          <w:tcPr>
            <w:tcW w:w="569" w:type="pct"/>
            <w:vAlign w:val="center"/>
          </w:tcPr>
          <w:p w14:paraId="5113C990" w14:textId="77777777" w:rsidR="00506EE4" w:rsidRPr="006D7D73" w:rsidRDefault="00506EE4" w:rsidP="004B5B93">
            <w:pPr>
              <w:spacing w:line="0" w:lineRule="atLeast"/>
              <w:jc w:val="both"/>
              <w:rPr>
                <w:rFonts w:ascii="標楷體" w:eastAsia="標楷體" w:hAnsi="標楷體"/>
              </w:rPr>
            </w:pPr>
            <w:r w:rsidRPr="006D7D73">
              <w:rPr>
                <w:rFonts w:ascii="標楷體" w:eastAsia="標楷體" w:hAnsi="標楷體"/>
              </w:rPr>
              <w:t>10</w:t>
            </w:r>
            <w:r w:rsidRPr="006D7D73">
              <w:rPr>
                <w:rFonts w:ascii="標楷體" w:eastAsia="標楷體" w:hAnsi="標楷體" w:hint="eastAsia"/>
              </w:rPr>
              <w:t>9</w:t>
            </w:r>
            <w:r w:rsidRPr="006D7D73">
              <w:rPr>
                <w:rFonts w:ascii="標楷體" w:eastAsia="標楷體" w:hAnsi="標楷體"/>
              </w:rPr>
              <w:t>.</w:t>
            </w:r>
            <w:r w:rsidRPr="006D7D73">
              <w:rPr>
                <w:rFonts w:ascii="標楷體" w:eastAsia="標楷體" w:hAnsi="標楷體" w:hint="eastAsia"/>
              </w:rPr>
              <w:t>8月</w:t>
            </w:r>
          </w:p>
        </w:tc>
        <w:tc>
          <w:tcPr>
            <w:tcW w:w="569" w:type="pct"/>
            <w:vAlign w:val="center"/>
          </w:tcPr>
          <w:p w14:paraId="7F287BFD" w14:textId="77777777" w:rsidR="00506EE4" w:rsidRPr="006D7D73" w:rsidRDefault="00506EE4" w:rsidP="004B5B93">
            <w:pPr>
              <w:spacing w:line="0" w:lineRule="atLeast"/>
              <w:jc w:val="center"/>
              <w:rPr>
                <w:rFonts w:ascii="標楷體" w:eastAsia="標楷體" w:hAnsi="標楷體"/>
              </w:rPr>
            </w:pPr>
            <w:r w:rsidRPr="006D7D73">
              <w:rPr>
                <w:rFonts w:ascii="標楷體" w:eastAsia="標楷體" w:hAnsi="標楷體" w:hint="eastAsia"/>
              </w:rPr>
              <w:t>邱品融</w:t>
            </w:r>
          </w:p>
        </w:tc>
        <w:tc>
          <w:tcPr>
            <w:tcW w:w="565" w:type="pct"/>
            <w:vAlign w:val="center"/>
          </w:tcPr>
          <w:p w14:paraId="4F29A194" w14:textId="77777777" w:rsidR="00506EE4" w:rsidRPr="006D7D73" w:rsidRDefault="00506EE4" w:rsidP="004B5B93">
            <w:pPr>
              <w:spacing w:line="0" w:lineRule="atLeast"/>
              <w:jc w:val="both"/>
              <w:rPr>
                <w:rFonts w:ascii="標楷體" w:eastAsia="標楷體" w:hAnsi="標楷體"/>
              </w:rPr>
            </w:pPr>
          </w:p>
        </w:tc>
      </w:tr>
    </w:tbl>
    <w:p w14:paraId="2E3FEB4A" w14:textId="77777777" w:rsidR="00506EE4" w:rsidRPr="006D7D73" w:rsidRDefault="00506EE4" w:rsidP="002702BE">
      <w:pPr>
        <w:tabs>
          <w:tab w:val="left" w:pos="360"/>
        </w:tabs>
        <w:autoSpaceDE w:val="0"/>
        <w:autoSpaceDN w:val="0"/>
        <w:adjustRightInd w:val="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5324814" w14:textId="77777777" w:rsidR="00506EE4" w:rsidRPr="006D7D73" w:rsidRDefault="00506EE4" w:rsidP="002702BE">
      <w:pPr>
        <w:tabs>
          <w:tab w:val="left" w:pos="360"/>
        </w:tabs>
        <w:autoSpaceDE w:val="0"/>
        <w:autoSpaceDN w:val="0"/>
        <w:adjustRightInd w:val="0"/>
        <w:jc w:val="both"/>
        <w:textAlignment w:val="baseline"/>
        <w:rPr>
          <w:rFonts w:ascii="標楷體" w:eastAsia="標楷體" w:hAnsi="標楷體"/>
          <w:b/>
          <w:bCs/>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1E4723C1" wp14:editId="2A3367AD">
                <wp:simplePos x="0" y="0"/>
                <wp:positionH relativeFrom="column">
                  <wp:posOffset>4269105</wp:posOffset>
                </wp:positionH>
                <wp:positionV relativeFrom="page">
                  <wp:posOffset>9290685</wp:posOffset>
                </wp:positionV>
                <wp:extent cx="20574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9B4911B" w14:textId="77777777" w:rsidR="00506EE4" w:rsidRPr="00D21AF0" w:rsidRDefault="00506EE4" w:rsidP="002702BE">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Pr="001545E9">
                              <w:rPr>
                                <w:rFonts w:ascii="標楷體" w:eastAsia="標楷體" w:hAnsi="標楷體"/>
                                <w:sz w:val="16"/>
                                <w:szCs w:val="16"/>
                              </w:rPr>
                              <w:t>110.01.27</w:t>
                            </w:r>
                          </w:p>
                          <w:p w14:paraId="4F2F9977" w14:textId="77777777" w:rsidR="00506EE4" w:rsidRPr="00D21AF0" w:rsidRDefault="00506EE4" w:rsidP="002702BE">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723C1" id="_x0000_t202" coordsize="21600,21600" o:spt="202" path="m,l,21600r21600,l21600,xe">
                <v:stroke joinstyle="miter"/>
                <v:path gradientshapeok="t" o:connecttype="rect"/>
              </v:shapetype>
              <v:shape id="文字方塊 14" o:spid="_x0000_s1026" type="#_x0000_t202" style="position:absolute;left:0;text-align:left;margin-left:336.1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" fillcolor="white [3201]" stroked="f" strokeweight="1pt">
                <v:textbox>
                  <w:txbxContent>
                    <w:p w14:paraId="69B4911B" w14:textId="77777777" w:rsidR="00506EE4" w:rsidRPr="00D21AF0" w:rsidRDefault="00506EE4" w:rsidP="002702BE">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sidRPr="001545E9">
                        <w:rPr>
                          <w:rFonts w:ascii="標楷體" w:eastAsia="標楷體" w:hAnsi="標楷體"/>
                          <w:sz w:val="16"/>
                          <w:szCs w:val="16"/>
                        </w:rPr>
                        <w:t>110.01.27</w:t>
                      </w:r>
                    </w:p>
                    <w:p w14:paraId="4F2F9977" w14:textId="77777777" w:rsidR="00506EE4" w:rsidRPr="00D21AF0" w:rsidRDefault="00506EE4" w:rsidP="002702BE">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b/>
          <w:bCs/>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506EE4" w:rsidRPr="006D7D73" w14:paraId="17298948"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55040B12" w14:textId="77777777" w:rsidR="00506EE4" w:rsidRPr="006D7D73" w:rsidRDefault="00506EE4"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506EE4" w:rsidRPr="006D7D73" w14:paraId="1624A185" w14:textId="77777777" w:rsidTr="000F638E">
        <w:trPr>
          <w:jc w:val="center"/>
        </w:trPr>
        <w:tc>
          <w:tcPr>
            <w:tcW w:w="2354" w:type="pct"/>
            <w:tcBorders>
              <w:left w:val="single" w:sz="12" w:space="0" w:color="auto"/>
              <w:bottom w:val="single" w:sz="2" w:space="0" w:color="auto"/>
              <w:right w:val="single" w:sz="2" w:space="0" w:color="auto"/>
            </w:tcBorders>
            <w:vAlign w:val="center"/>
          </w:tcPr>
          <w:p w14:paraId="2F845D88"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04050419"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4F7AF6D1"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3B5B918F"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2EBE86D"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6F407064"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506EE4" w:rsidRPr="006D7D73" w14:paraId="451BC924"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16552218"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5B099DBA"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1AF4CC74"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3C54367D"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1120-028-2</w:t>
            </w:r>
          </w:p>
        </w:tc>
        <w:tc>
          <w:tcPr>
            <w:tcW w:w="651" w:type="pct"/>
            <w:tcBorders>
              <w:bottom w:val="single" w:sz="12" w:space="0" w:color="auto"/>
            </w:tcBorders>
            <w:vAlign w:val="center"/>
          </w:tcPr>
          <w:p w14:paraId="05BB23AB" w14:textId="77777777" w:rsidR="00506EE4" w:rsidRPr="006D7D73" w:rsidRDefault="00506EE4" w:rsidP="004B5B93">
            <w:pPr>
              <w:spacing w:line="0" w:lineRule="atLeast"/>
              <w:jc w:val="center"/>
              <w:rPr>
                <w:rFonts w:ascii="標楷體" w:eastAsia="標楷體" w:hAnsi="標楷體"/>
                <w:sz w:val="20"/>
              </w:rPr>
            </w:pPr>
            <w:r w:rsidRPr="006D7D73">
              <w:rPr>
                <w:rFonts w:ascii="標楷體" w:eastAsia="標楷體" w:hAnsi="標楷體" w:hint="eastAsia"/>
                <w:sz w:val="20"/>
              </w:rPr>
              <w:t>01</w:t>
            </w:r>
            <w:r w:rsidRPr="006D7D73">
              <w:rPr>
                <w:rFonts w:ascii="標楷體" w:eastAsia="標楷體" w:hAnsi="標楷體"/>
                <w:sz w:val="20"/>
              </w:rPr>
              <w:t>/</w:t>
            </w:r>
          </w:p>
          <w:p w14:paraId="77540AD2"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14:paraId="6E3000DD"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429E11C0"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5600547A" w14:textId="77777777" w:rsidR="00506EE4" w:rsidRPr="006D7D73" w:rsidRDefault="00506EE4" w:rsidP="002702BE">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5B5A376" w14:textId="77777777" w:rsidR="00506EE4" w:rsidRPr="006D7D73" w:rsidRDefault="00506EE4" w:rsidP="002702BE">
      <w:pPr>
        <w:spacing w:before="100" w:beforeAutospacing="1"/>
        <w:rPr>
          <w:rFonts w:ascii="標楷體" w:eastAsia="標楷體" w:hAnsi="標楷體"/>
          <w:b/>
          <w:bCs/>
        </w:rPr>
      </w:pPr>
      <w:r w:rsidRPr="006D7D73">
        <w:rPr>
          <w:rFonts w:ascii="標楷體" w:eastAsia="標楷體" w:hAnsi="標楷體" w:hint="eastAsia"/>
          <w:b/>
          <w:bCs/>
        </w:rPr>
        <w:t>1.流程圖：</w:t>
      </w:r>
    </w:p>
    <w:p w14:paraId="044CC93A" w14:textId="77777777" w:rsidR="00506EE4" w:rsidRDefault="00506EE4" w:rsidP="001545E9">
      <w:pPr>
        <w:ind w:leftChars="-59" w:left="-142"/>
        <w:jc w:val="both"/>
        <w:textAlignment w:val="baseline"/>
        <w:rPr>
          <w:rFonts w:ascii="標楷體" w:eastAsia="標楷體" w:hAnsi="標楷體"/>
        </w:rPr>
      </w:pPr>
      <w:r w:rsidRPr="006D7D73">
        <w:rPr>
          <w:rFonts w:ascii="標楷體" w:eastAsia="標楷體" w:hAnsi="標楷體"/>
        </w:rPr>
        <w:object w:dxaOrig="6046" w:dyaOrig="11640" w14:anchorId="111D1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551.25pt" o:ole="">
            <v:imagedata r:id="rId4" o:title=""/>
          </v:shape>
          <o:OLEObject Type="Embed" ProgID="Visio.Drawing.15" ShapeID="_x0000_i1025" DrawAspect="Content" ObjectID="_1710891050" r:id="rId5"/>
        </w:object>
      </w:r>
    </w:p>
    <w:p w14:paraId="10D06401" w14:textId="77777777" w:rsidR="00506EE4" w:rsidRPr="006D7D73" w:rsidRDefault="00506EE4" w:rsidP="001545E9">
      <w:pPr>
        <w:ind w:leftChars="-59" w:left="-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506EE4" w:rsidRPr="006D7D73" w14:paraId="027D2BE4"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25993B1A" w14:textId="77777777" w:rsidR="00506EE4" w:rsidRPr="006D7D73" w:rsidRDefault="00506EE4"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506EE4" w:rsidRPr="006D7D73" w14:paraId="15ED0903" w14:textId="77777777" w:rsidTr="000F638E">
        <w:trPr>
          <w:jc w:val="center"/>
        </w:trPr>
        <w:tc>
          <w:tcPr>
            <w:tcW w:w="2354" w:type="pct"/>
            <w:tcBorders>
              <w:left w:val="single" w:sz="12" w:space="0" w:color="auto"/>
              <w:bottom w:val="single" w:sz="2" w:space="0" w:color="auto"/>
              <w:right w:val="single" w:sz="2" w:space="0" w:color="auto"/>
            </w:tcBorders>
            <w:vAlign w:val="center"/>
          </w:tcPr>
          <w:p w14:paraId="17097C55"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61F38CB1"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57693B8A"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7B1E03C8"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9840A04"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698106C1"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506EE4" w:rsidRPr="006D7D73" w14:paraId="2AEDF2A8"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417F64F9"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4F5176BA"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0344A859"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7BFB0B96"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1120-028-2</w:t>
            </w:r>
          </w:p>
        </w:tc>
        <w:tc>
          <w:tcPr>
            <w:tcW w:w="651" w:type="pct"/>
            <w:tcBorders>
              <w:bottom w:val="single" w:sz="12" w:space="0" w:color="auto"/>
            </w:tcBorders>
            <w:vAlign w:val="center"/>
          </w:tcPr>
          <w:p w14:paraId="68F86E9B" w14:textId="77777777" w:rsidR="00506EE4" w:rsidRPr="006D7D73" w:rsidRDefault="00506EE4" w:rsidP="004B5B93">
            <w:pPr>
              <w:spacing w:line="0" w:lineRule="atLeast"/>
              <w:jc w:val="center"/>
              <w:rPr>
                <w:rFonts w:ascii="標楷體" w:eastAsia="標楷體" w:hAnsi="標楷體"/>
                <w:sz w:val="20"/>
              </w:rPr>
            </w:pPr>
            <w:r w:rsidRPr="006D7D73">
              <w:rPr>
                <w:rFonts w:ascii="標楷體" w:eastAsia="標楷體" w:hAnsi="標楷體" w:hint="eastAsia"/>
                <w:sz w:val="20"/>
              </w:rPr>
              <w:t>01</w:t>
            </w:r>
            <w:r w:rsidRPr="006D7D73">
              <w:rPr>
                <w:rFonts w:ascii="標楷體" w:eastAsia="標楷體" w:hAnsi="標楷體"/>
                <w:sz w:val="20"/>
              </w:rPr>
              <w:t>/</w:t>
            </w:r>
          </w:p>
          <w:p w14:paraId="1DB81D7B"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14:paraId="3B4FC41C"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7E234A7F"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0582EF13" w14:textId="77777777" w:rsidR="00506EE4" w:rsidRPr="006D7D73" w:rsidRDefault="00506EE4" w:rsidP="002702BE">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B1A6FCA" w14:textId="77777777" w:rsidR="00506EE4" w:rsidRPr="006D7D73" w:rsidRDefault="00506EE4"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103F6197"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2.1.提起申復</w:t>
      </w:r>
    </w:p>
    <w:p w14:paraId="6A8FA316"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2.1.1.申復時間及方法</w:t>
      </w:r>
    </w:p>
    <w:p w14:paraId="23707CE7"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2.1.1.1.申請人及行為人對於性別平等教育法第三十一條第三項處理之結果有不服者，得於收到書面通知次日起二十日內，以書面具明理由向本校性別平等教育委員會申復；其以言詞為之者，應作成紀錄，經向申請人或行為人朗讀或使閱覽，確認其內容無誤後，由其簽名或蓋章。</w:t>
      </w:r>
    </w:p>
    <w:p w14:paraId="2D7471B3" w14:textId="77777777" w:rsidR="00506EE4" w:rsidRPr="006D7D73" w:rsidRDefault="00506EE4" w:rsidP="002702BE">
      <w:pPr>
        <w:ind w:leftChars="600" w:left="2400" w:hangingChars="400" w:hanging="960"/>
        <w:jc w:val="both"/>
        <w:rPr>
          <w:rFonts w:ascii="標楷體" w:eastAsia="標楷體" w:hAnsi="標楷體" w:cs="細明體"/>
        </w:rPr>
      </w:pPr>
      <w:r w:rsidRPr="006D7D73">
        <w:rPr>
          <w:rFonts w:ascii="標楷體" w:eastAsia="標楷體" w:hAnsi="標楷體" w:hint="eastAsia"/>
        </w:rPr>
        <w:t>2.1.1.2.前項申復以一</w:t>
      </w:r>
      <w:r w:rsidRPr="006D7D73">
        <w:rPr>
          <w:rFonts w:ascii="標楷體" w:eastAsia="標楷體" w:hAnsi="標楷體" w:cs="細明體" w:hint="eastAsia"/>
        </w:rPr>
        <w:t>次為限。</w:t>
      </w:r>
    </w:p>
    <w:p w14:paraId="673ABA50"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2.1.2.申復書應載明事項</w:t>
      </w:r>
    </w:p>
    <w:p w14:paraId="530A8A8B"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2.1.2.1.申復人之姓名、性別、出生年月日、國民身分證統一編號或護照號碼、服務或就學之單位與職稱、住所或居所及聯絡電話。</w:t>
      </w:r>
    </w:p>
    <w:p w14:paraId="5671DD85"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2.1.2.2.有法定或委任代理人者，其姓名、性別、出生年月日、國民身分證統一編號或護照號碼、職業、住所或居所及聯絡電話。委任代理人應檢附委任書。</w:t>
      </w:r>
    </w:p>
    <w:p w14:paraId="694C2E27"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2.1.2.3.申復之理由及相關證據。</w:t>
      </w:r>
    </w:p>
    <w:p w14:paraId="2A936B28"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2.1.2.4.年月日。</w:t>
      </w:r>
    </w:p>
    <w:p w14:paraId="7482A0F7"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2.1.2.5.申復書應由申訴人簽名或蓋章。</w:t>
      </w:r>
    </w:p>
    <w:p w14:paraId="52660FDA"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2.1.2.6.申復書不合上開規定，而其情形可補正者，應通知申復人於十四日內補正。其受理日期，仍以申復人原申復書送達日期為準。</w:t>
      </w:r>
    </w:p>
    <w:p w14:paraId="307AFC3B"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2.1.3.申復人於案件審議期間撤回申復者，應以書面為之，於送達本校後即予結案。</w:t>
      </w:r>
    </w:p>
    <w:p w14:paraId="792B3BB2"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2.2.不受理申復</w:t>
      </w:r>
    </w:p>
    <w:p w14:paraId="0A9E1AD2"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2.2.1.申復之提起違反性別平等教育法第三十二條所定，收到調查結果書面通知次日起二十日內之期限。</w:t>
      </w:r>
    </w:p>
    <w:p w14:paraId="6E77A734"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2.2.2.申復書未依十四日內補正。</w:t>
      </w:r>
    </w:p>
    <w:p w14:paraId="7F566994"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2.2.3.同一申復案件已處理完畢，並將調查結果函復當事人。</w:t>
      </w:r>
    </w:p>
    <w:p w14:paraId="311D3DFD"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2.2.4.本校不受理申復時，應於申復到達之日起二十日內，以書面敘明理由通知當事人。</w:t>
      </w:r>
    </w:p>
    <w:p w14:paraId="49DFEA0D"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2.2.5.申復人於案件審議期間撤回申復者，應以書面為之，於送達本校性別平等教育委員會後即予結案。</w:t>
      </w:r>
    </w:p>
    <w:p w14:paraId="2E22D814"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2.2.6.不受理之申復以一次為限。</w:t>
      </w:r>
    </w:p>
    <w:p w14:paraId="09C84B90"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2.3.受理申復</w:t>
      </w:r>
    </w:p>
    <w:p w14:paraId="6407940C"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2.3.1.本校性別平等教育委員會受理申復後，應即組成審議小組，並於三十日內作成附理由之決定，以書面通知申復人申復結果。</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506EE4" w:rsidRPr="006D7D73" w14:paraId="2FA5BA20"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11C78E2B" w14:textId="77777777" w:rsidR="00506EE4" w:rsidRPr="006D7D73" w:rsidRDefault="00506EE4"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506EE4" w:rsidRPr="006D7D73" w14:paraId="0186493E" w14:textId="77777777" w:rsidTr="000F638E">
        <w:trPr>
          <w:jc w:val="center"/>
        </w:trPr>
        <w:tc>
          <w:tcPr>
            <w:tcW w:w="2354" w:type="pct"/>
            <w:tcBorders>
              <w:left w:val="single" w:sz="12" w:space="0" w:color="auto"/>
              <w:bottom w:val="single" w:sz="2" w:space="0" w:color="auto"/>
              <w:right w:val="single" w:sz="2" w:space="0" w:color="auto"/>
            </w:tcBorders>
            <w:vAlign w:val="center"/>
          </w:tcPr>
          <w:p w14:paraId="03E22170"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152987ED"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75505873"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265E2D50"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5FD2185"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5AFB9B6B"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506EE4" w:rsidRPr="006D7D73" w14:paraId="439C49F2"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17B47C2F"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020CD472"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413ECF53"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21A4844D"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1120-028-2</w:t>
            </w:r>
          </w:p>
        </w:tc>
        <w:tc>
          <w:tcPr>
            <w:tcW w:w="651" w:type="pct"/>
            <w:tcBorders>
              <w:bottom w:val="single" w:sz="12" w:space="0" w:color="auto"/>
            </w:tcBorders>
            <w:vAlign w:val="center"/>
          </w:tcPr>
          <w:p w14:paraId="3F74484D" w14:textId="77777777" w:rsidR="00506EE4" w:rsidRPr="006D7D73" w:rsidRDefault="00506EE4" w:rsidP="004B5B93">
            <w:pPr>
              <w:spacing w:line="0" w:lineRule="atLeast"/>
              <w:jc w:val="center"/>
              <w:rPr>
                <w:rFonts w:ascii="標楷體" w:eastAsia="標楷體" w:hAnsi="標楷體"/>
                <w:sz w:val="20"/>
              </w:rPr>
            </w:pPr>
            <w:r w:rsidRPr="006D7D73">
              <w:rPr>
                <w:rFonts w:ascii="標楷體" w:eastAsia="標楷體" w:hAnsi="標楷體" w:hint="eastAsia"/>
                <w:sz w:val="20"/>
              </w:rPr>
              <w:t>01</w:t>
            </w:r>
            <w:r w:rsidRPr="006D7D73">
              <w:rPr>
                <w:rFonts w:ascii="標楷體" w:eastAsia="標楷體" w:hAnsi="標楷體"/>
                <w:sz w:val="20"/>
              </w:rPr>
              <w:t>/</w:t>
            </w:r>
          </w:p>
          <w:p w14:paraId="6B069301"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14:paraId="76426FD1"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6DC898D6"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5DCD9AA9" w14:textId="77777777" w:rsidR="00506EE4" w:rsidRPr="006D7D73" w:rsidRDefault="00506EE4" w:rsidP="002702BE">
      <w:pPr>
        <w:jc w:val="right"/>
        <w:rPr>
          <w:rFonts w:ascii="標楷體" w:eastAsia="標楷體" w:hAnsi="標楷體" w:cs="細明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3B325C1" w14:textId="77777777" w:rsidR="00506EE4" w:rsidRPr="006D7D73" w:rsidRDefault="00506EE4" w:rsidP="002702BE">
      <w:pPr>
        <w:spacing w:before="100" w:beforeAutospacing="1"/>
        <w:ind w:leftChars="100" w:left="720" w:hangingChars="200" w:hanging="480"/>
        <w:rPr>
          <w:rFonts w:ascii="標楷體" w:eastAsia="標楷體" w:hAnsi="標楷體"/>
        </w:rPr>
      </w:pPr>
      <w:r w:rsidRPr="006D7D73">
        <w:rPr>
          <w:rFonts w:ascii="標楷體" w:eastAsia="標楷體" w:hAnsi="標楷體" w:hint="eastAsia"/>
        </w:rPr>
        <w:t>2.4.組成審議小組</w:t>
      </w:r>
    </w:p>
    <w:p w14:paraId="7ABC2737"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2.4.1.審議小組應包括性別平等教育相關專家學者、法律專業人員三人或五人，其小組成員中，女性人數比例應占成員總數二分之一以上，具校園性侵害、性騷擾或性霸凌事件調查專業素養之專家學者人數比例於本校應占成員總數三分之一以上。</w:t>
      </w:r>
    </w:p>
    <w:p w14:paraId="1F395B79"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2.4.2.原性別平等教育委員會委員及原調查小組成員不得擔任審議小組成員。</w:t>
      </w:r>
    </w:p>
    <w:p w14:paraId="7676F969"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2.4.3.性別平等教育委員會參與審議小組申復案件審核作業之人員與申復人有直接或間接利害關係者，應予迴避。</w:t>
      </w:r>
    </w:p>
    <w:p w14:paraId="4D4B23C9"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2.4.4.審議小組召開會議時由小組成員推舉召集人，並主持會議。</w:t>
      </w:r>
    </w:p>
    <w:p w14:paraId="56A8AC90"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2.4.5.審議會議進行時，得視需要給予申復人陳述意見之機會，並得邀所設性別平等教育委員會相關委員或調查小組成員列席說明。</w:t>
      </w:r>
    </w:p>
    <w:p w14:paraId="1FF0E249"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2.4.6.申復無理由者，性平會逕依審議結果填報「教育部校園性侵害性騷擾及性霸凌事件統計管理系統」予以結案。</w:t>
      </w:r>
    </w:p>
    <w:p w14:paraId="7725D96A"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2.4.7.申復有理由之處置</w:t>
      </w:r>
    </w:p>
    <w:p w14:paraId="0212C1FB"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2.4.7.1.申復有理由者，將申復決定通知性別平等教育委員會，是否重為決定。</w:t>
      </w:r>
    </w:p>
    <w:p w14:paraId="24A86113"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2.4.7.2.申復人對處理結果提出申復並檢具新事證者，由審議小組進行查核，如發現調查程序有重大瑕疵，或所提新事實、新證據足以影響原調查之認定者，得要求性別平等教育委員會重新調查。</w:t>
      </w:r>
    </w:p>
    <w:p w14:paraId="6AA0D3CB"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2.4.8.組成調查小組</w:t>
      </w:r>
    </w:p>
    <w:p w14:paraId="36EA04F0"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2.4.8.1.調查</w:t>
      </w:r>
      <w:r w:rsidRPr="006D7D73">
        <w:rPr>
          <w:rFonts w:ascii="標楷體" w:eastAsia="標楷體" w:hAnsi="標楷體"/>
        </w:rPr>
        <w:t>申</w:t>
      </w:r>
      <w:r w:rsidRPr="006D7D73">
        <w:rPr>
          <w:rFonts w:ascii="標楷體" w:eastAsia="標楷體" w:hAnsi="標楷體" w:hint="eastAsia"/>
        </w:rPr>
        <w:t>復案受理後，得成立調查小組調查之，小組成員以三人或五人為原則；必要時，調查小組成員得一部或全部外聘。調查小組以三人或五人為原則，小組成員應具性別平等意識，女性成員不得少於成員總數二分之一，且其成員中具性侵害、性騷擾或性霸凌事件調查專業素養之專家學者人數，應占成員總數三分之一以上；事件當事人分屬不同學校時，並應有被害人現所屬學校之代表。</w:t>
      </w:r>
    </w:p>
    <w:p w14:paraId="4ACC3E22"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2.4.8.2.當事人持有各級主管機關核發之有效特殊教育學生鑑定證明者，調查小組成員應有具備特殊教育專業者。</w:t>
      </w:r>
    </w:p>
    <w:p w14:paraId="18787B1E" w14:textId="77777777" w:rsidR="00506EE4" w:rsidRPr="006D7D73" w:rsidRDefault="00506EE4" w:rsidP="002702BE">
      <w:pPr>
        <w:ind w:leftChars="600" w:left="2400" w:hangingChars="400" w:hanging="960"/>
        <w:jc w:val="both"/>
        <w:rPr>
          <w:rFonts w:ascii="標楷體" w:eastAsia="標楷體" w:hAnsi="標楷體"/>
        </w:rPr>
      </w:pPr>
      <w:r w:rsidRPr="006D7D73">
        <w:rPr>
          <w:rFonts w:ascii="標楷體" w:eastAsia="標楷體" w:hAnsi="標楷體" w:hint="eastAsia"/>
        </w:rPr>
        <w:t>2.4.8.3.調查原則</w:t>
      </w:r>
    </w:p>
    <w:p w14:paraId="6117DC6D" w14:textId="77777777" w:rsidR="00506EE4" w:rsidRPr="006D7D73" w:rsidRDefault="00506EE4" w:rsidP="002702BE">
      <w:pPr>
        <w:ind w:leftChars="1000" w:left="3600" w:hangingChars="500" w:hanging="1200"/>
        <w:rPr>
          <w:rFonts w:ascii="標楷體" w:eastAsia="標楷體" w:hAnsi="標楷體"/>
        </w:rPr>
      </w:pPr>
      <w:r w:rsidRPr="006D7D73">
        <w:rPr>
          <w:rFonts w:ascii="標楷體" w:eastAsia="標楷體" w:hAnsi="標楷體" w:hint="eastAsia"/>
        </w:rPr>
        <w:t>2.4.8.3.1.</w:t>
      </w:r>
      <w:r w:rsidRPr="006D7D73">
        <w:rPr>
          <w:rFonts w:ascii="標楷體" w:eastAsia="標楷體" w:hAnsi="標楷體"/>
        </w:rPr>
        <w:t>秉持客觀、公正、專業之原則。給予雙方當事人充分陳述意見及答辯之機會，並應避免重複詢問。</w:t>
      </w:r>
    </w:p>
    <w:p w14:paraId="6B703A14" w14:textId="77777777" w:rsidR="00506EE4" w:rsidRPr="006D7D73" w:rsidRDefault="00506EE4" w:rsidP="002702BE">
      <w:pPr>
        <w:ind w:leftChars="1000" w:left="3600" w:hangingChars="500" w:hanging="1200"/>
        <w:rPr>
          <w:rFonts w:ascii="標楷體" w:eastAsia="標楷體" w:hAnsi="標楷體"/>
        </w:rPr>
      </w:pPr>
      <w:r w:rsidRPr="006D7D73">
        <w:rPr>
          <w:rFonts w:ascii="標楷體" w:eastAsia="標楷體" w:hAnsi="標楷體" w:hint="eastAsia"/>
        </w:rPr>
        <w:t>2.4.8.3.2.</w:t>
      </w:r>
      <w:r w:rsidRPr="006D7D73">
        <w:rPr>
          <w:rFonts w:ascii="標楷體" w:eastAsia="標楷體" w:hAnsi="標楷體"/>
        </w:rPr>
        <w:t>當事人為未成年者，接受調查時得由法定代理人陪同。</w:t>
      </w:r>
    </w:p>
    <w:p w14:paraId="4B711477" w14:textId="77777777" w:rsidR="00506EE4" w:rsidRPr="006D7D73" w:rsidRDefault="00506EE4" w:rsidP="002702BE">
      <w:pPr>
        <w:ind w:leftChars="1000" w:left="3600" w:hangingChars="500" w:hanging="1200"/>
        <w:rPr>
          <w:rFonts w:ascii="標楷體" w:eastAsia="標楷體" w:hAnsi="標楷體"/>
        </w:rPr>
      </w:pP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506EE4" w:rsidRPr="006D7D73" w14:paraId="270C4797" w14:textId="77777777" w:rsidTr="000F638E">
        <w:trPr>
          <w:jc w:val="center"/>
        </w:trPr>
        <w:tc>
          <w:tcPr>
            <w:tcW w:w="5000" w:type="pct"/>
            <w:gridSpan w:val="5"/>
            <w:tcBorders>
              <w:top w:val="single" w:sz="12" w:space="0" w:color="auto"/>
              <w:left w:val="single" w:sz="12" w:space="0" w:color="auto"/>
              <w:right w:val="single" w:sz="12" w:space="0" w:color="auto"/>
            </w:tcBorders>
            <w:vAlign w:val="center"/>
          </w:tcPr>
          <w:p w14:paraId="4C2AF52B" w14:textId="77777777" w:rsidR="00506EE4" w:rsidRPr="006D7D73" w:rsidRDefault="00506EE4" w:rsidP="004B5B93">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506EE4" w:rsidRPr="006D7D73" w14:paraId="5D22AF2D" w14:textId="77777777" w:rsidTr="000F638E">
        <w:trPr>
          <w:jc w:val="center"/>
        </w:trPr>
        <w:tc>
          <w:tcPr>
            <w:tcW w:w="2354" w:type="pct"/>
            <w:tcBorders>
              <w:left w:val="single" w:sz="12" w:space="0" w:color="auto"/>
              <w:bottom w:val="single" w:sz="2" w:space="0" w:color="auto"/>
              <w:right w:val="single" w:sz="2" w:space="0" w:color="auto"/>
            </w:tcBorders>
            <w:vAlign w:val="center"/>
          </w:tcPr>
          <w:p w14:paraId="1D2344F3"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759" w:type="pct"/>
            <w:tcBorders>
              <w:left w:val="single" w:sz="2" w:space="0" w:color="auto"/>
            </w:tcBorders>
            <w:vAlign w:val="center"/>
          </w:tcPr>
          <w:p w14:paraId="6D18D0A0"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6C088CB9"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1F0B8620"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8254947"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6978DF7D"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506EE4" w:rsidRPr="006D7D73" w14:paraId="09E31568" w14:textId="77777777" w:rsidTr="000F638E">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16A7395A"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性侵害性騷擾或性霸凌事件</w:t>
            </w:r>
          </w:p>
          <w:p w14:paraId="284FE9AB" w14:textId="77777777" w:rsidR="00506EE4" w:rsidRPr="006D7D73" w:rsidRDefault="00506EE4" w:rsidP="004B5B93">
            <w:pPr>
              <w:spacing w:line="0" w:lineRule="atLeast"/>
              <w:jc w:val="center"/>
              <w:rPr>
                <w:rFonts w:ascii="標楷體" w:eastAsia="標楷體" w:hAnsi="標楷體"/>
                <w:b/>
              </w:rPr>
            </w:pPr>
            <w:r w:rsidRPr="006D7D73">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1CC412E6"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2915C9DD"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1120-028-2</w:t>
            </w:r>
          </w:p>
        </w:tc>
        <w:tc>
          <w:tcPr>
            <w:tcW w:w="651" w:type="pct"/>
            <w:tcBorders>
              <w:bottom w:val="single" w:sz="12" w:space="0" w:color="auto"/>
            </w:tcBorders>
            <w:vAlign w:val="center"/>
          </w:tcPr>
          <w:p w14:paraId="43EDE1A0" w14:textId="77777777" w:rsidR="00506EE4" w:rsidRPr="006D7D73" w:rsidRDefault="00506EE4" w:rsidP="004B5B93">
            <w:pPr>
              <w:spacing w:line="0" w:lineRule="atLeast"/>
              <w:jc w:val="center"/>
              <w:rPr>
                <w:rFonts w:ascii="標楷體" w:eastAsia="標楷體" w:hAnsi="標楷體"/>
                <w:sz w:val="20"/>
              </w:rPr>
            </w:pPr>
            <w:r w:rsidRPr="006D7D73">
              <w:rPr>
                <w:rFonts w:ascii="標楷體" w:eastAsia="標楷體" w:hAnsi="標楷體" w:hint="eastAsia"/>
                <w:sz w:val="20"/>
              </w:rPr>
              <w:t>01</w:t>
            </w:r>
            <w:r w:rsidRPr="006D7D73">
              <w:rPr>
                <w:rFonts w:ascii="標楷體" w:eastAsia="標楷體" w:hAnsi="標楷體"/>
                <w:sz w:val="20"/>
              </w:rPr>
              <w:t>/</w:t>
            </w:r>
          </w:p>
          <w:p w14:paraId="17F595C3"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hint="eastAsia"/>
                <w:sz w:val="20"/>
              </w:rPr>
              <w:t>110.01.27</w:t>
            </w:r>
          </w:p>
        </w:tc>
        <w:tc>
          <w:tcPr>
            <w:tcW w:w="594" w:type="pct"/>
            <w:tcBorders>
              <w:bottom w:val="single" w:sz="12" w:space="0" w:color="auto"/>
              <w:right w:val="single" w:sz="12" w:space="0" w:color="auto"/>
            </w:tcBorders>
            <w:vAlign w:val="center"/>
          </w:tcPr>
          <w:p w14:paraId="437F1D20"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4</w:t>
            </w:r>
            <w:r w:rsidRPr="006D7D73">
              <w:rPr>
                <w:rFonts w:ascii="標楷體" w:eastAsia="標楷體" w:hAnsi="標楷體"/>
                <w:sz w:val="20"/>
                <w:szCs w:val="20"/>
              </w:rPr>
              <w:t>頁/</w:t>
            </w:r>
          </w:p>
          <w:p w14:paraId="7E8D32CE" w14:textId="77777777" w:rsidR="00506EE4" w:rsidRPr="006D7D73" w:rsidRDefault="00506EE4" w:rsidP="004B5B93">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4</w:t>
            </w:r>
            <w:r w:rsidRPr="006D7D73">
              <w:rPr>
                <w:rFonts w:ascii="標楷體" w:eastAsia="標楷體" w:hAnsi="標楷體"/>
                <w:sz w:val="20"/>
                <w:szCs w:val="20"/>
              </w:rPr>
              <w:t>頁</w:t>
            </w:r>
          </w:p>
        </w:tc>
      </w:tr>
    </w:tbl>
    <w:p w14:paraId="67B8E0F7" w14:textId="77777777" w:rsidR="00506EE4" w:rsidRPr="006D7D73" w:rsidRDefault="00506EE4" w:rsidP="002702BE">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A9B47AF" w14:textId="77777777" w:rsidR="00506EE4" w:rsidRPr="006D7D73" w:rsidRDefault="00506EE4" w:rsidP="002702BE">
      <w:pPr>
        <w:spacing w:before="100" w:beforeAutospacing="1"/>
        <w:ind w:leftChars="1000" w:left="3600" w:hangingChars="500" w:hanging="1200"/>
        <w:rPr>
          <w:rFonts w:ascii="標楷體" w:eastAsia="標楷體" w:hAnsi="標楷體"/>
        </w:rPr>
      </w:pPr>
      <w:r w:rsidRPr="006D7D73">
        <w:rPr>
          <w:rFonts w:ascii="標楷體" w:eastAsia="標楷體" w:hAnsi="標楷體" w:hint="eastAsia"/>
        </w:rPr>
        <w:t>2.4.8.3.3.</w:t>
      </w:r>
      <w:r w:rsidRPr="006D7D73">
        <w:rPr>
          <w:rFonts w:ascii="標楷體" w:eastAsia="標楷體" w:hAnsi="標楷體"/>
        </w:rPr>
        <w:t>行為人與被害人、檢舉人或</w:t>
      </w:r>
      <w:r w:rsidRPr="006D7D73">
        <w:rPr>
          <w:rFonts w:ascii="標楷體" w:eastAsia="標楷體" w:hAnsi="標楷體" w:hint="eastAsia"/>
        </w:rPr>
        <w:t>受邀協助調查之</w:t>
      </w:r>
      <w:r w:rsidRPr="006D7D73">
        <w:rPr>
          <w:rFonts w:ascii="標楷體" w:eastAsia="標楷體" w:hAnsi="標楷體"/>
        </w:rPr>
        <w:t>人有權力不對等之情形者，應避免其對質。必要時，得於不違反保密義務之範圍內另作成書面資料，交由行為人</w:t>
      </w:r>
      <w:r w:rsidRPr="006D7D73">
        <w:rPr>
          <w:rFonts w:ascii="標楷體" w:eastAsia="標楷體" w:hAnsi="標楷體" w:hint="eastAsia"/>
        </w:rPr>
        <w:t>、被害人或受邀協助調查之人</w:t>
      </w:r>
      <w:r w:rsidRPr="006D7D73">
        <w:rPr>
          <w:rFonts w:ascii="標楷體" w:eastAsia="標楷體" w:hAnsi="標楷體"/>
        </w:rPr>
        <w:t>閱覽或告以要旨。</w:t>
      </w:r>
    </w:p>
    <w:p w14:paraId="7219EA40" w14:textId="77777777" w:rsidR="00506EE4" w:rsidRPr="006D7D73" w:rsidRDefault="00506EE4" w:rsidP="002702BE">
      <w:pPr>
        <w:ind w:leftChars="1000" w:left="3600" w:hangingChars="500" w:hanging="1200"/>
        <w:rPr>
          <w:rFonts w:ascii="標楷體" w:eastAsia="標楷體" w:hAnsi="標楷體"/>
        </w:rPr>
      </w:pPr>
      <w:r w:rsidRPr="006D7D73">
        <w:rPr>
          <w:rFonts w:ascii="標楷體" w:eastAsia="標楷體" w:hAnsi="標楷體" w:hint="eastAsia"/>
        </w:rPr>
        <w:t>2.4.8.3.4.完成調查報告。</w:t>
      </w:r>
    </w:p>
    <w:p w14:paraId="673C85BE"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2.5.性平會議決調查報告</w:t>
      </w:r>
    </w:p>
    <w:p w14:paraId="17E3CAD4"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2.5.1.審議小組之重審決議經核定後，應函知申復人。</w:t>
      </w:r>
    </w:p>
    <w:p w14:paraId="18E8E3B6" w14:textId="77777777" w:rsidR="00506EE4" w:rsidRPr="006D7D73" w:rsidRDefault="00506EE4" w:rsidP="002702BE">
      <w:pPr>
        <w:ind w:leftChars="300" w:left="1440" w:hangingChars="300" w:hanging="720"/>
        <w:jc w:val="both"/>
        <w:rPr>
          <w:rFonts w:ascii="標楷體" w:eastAsia="標楷體" w:hAnsi="標楷體" w:cs="細明體"/>
        </w:rPr>
      </w:pPr>
      <w:r w:rsidRPr="006D7D73">
        <w:rPr>
          <w:rFonts w:ascii="標楷體" w:eastAsia="標楷體" w:hAnsi="標楷體" w:cs="細明體" w:hint="eastAsia"/>
        </w:rPr>
        <w:t>2.5.2.將處理情形、處理程序之檢核情形、調查報告及性平會之會議紀錄等申復審議結果，依相關規定填報「教育部校園性侵害性騷擾及性霸凌事件統計管理系統」。</w:t>
      </w:r>
    </w:p>
    <w:p w14:paraId="3974758A" w14:textId="77777777" w:rsidR="00506EE4" w:rsidRPr="006D7D73" w:rsidRDefault="00506EE4"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43CE005B"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3.1.不受理申復時，於申復到達之日起二十日內，以書面敘明理由通知當事人。</w:t>
      </w:r>
    </w:p>
    <w:p w14:paraId="50F07900"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3.2.受理申復時，審議小組之組成。</w:t>
      </w:r>
    </w:p>
    <w:p w14:paraId="345EDBF4"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3.3.重為調查時，調查小組成員之組成。</w:t>
      </w:r>
    </w:p>
    <w:p w14:paraId="3628E925"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3.4.30日內作成附理由之決定，並將調查處理結果通知申復人。</w:t>
      </w:r>
    </w:p>
    <w:p w14:paraId="5A85118C"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3.5.填報教育部系統。</w:t>
      </w:r>
    </w:p>
    <w:p w14:paraId="3DFF1149" w14:textId="77777777" w:rsidR="00506EE4" w:rsidRPr="006D7D73" w:rsidRDefault="00506EE4"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7D46E6CC"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4.1.佛光大學校園性侵害性騷擾或性霸凌事件申復書。</w:t>
      </w:r>
    </w:p>
    <w:p w14:paraId="241112AD"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4.2.錄音同意書。</w:t>
      </w:r>
    </w:p>
    <w:p w14:paraId="3E064659" w14:textId="77777777" w:rsidR="00506EE4" w:rsidRPr="006D7D73" w:rsidRDefault="00506EE4" w:rsidP="002702BE">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11C59376"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5.1.佛光大學校園性侵害性騷擾或性霸凌處理與防治實施辦法。</w:t>
      </w:r>
    </w:p>
    <w:p w14:paraId="63B6C226"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5.2.佛光大學性別平等教育委員會設置辦法。</w:t>
      </w:r>
    </w:p>
    <w:p w14:paraId="7543130E"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5.3.性侵害犯罪防治法。（衛生福利部104.12.23）</w:t>
      </w:r>
    </w:p>
    <w:p w14:paraId="293EE577"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5.4.性騷擾防治法。（衛生福利部98.01.23）</w:t>
      </w:r>
    </w:p>
    <w:p w14:paraId="6CF5D6ED"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5.5.性別平等教育法。（教育部107.12.28）</w:t>
      </w:r>
    </w:p>
    <w:p w14:paraId="2E4333FD"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5.6.校園性侵害性騷擾或性霸凌事件調查處置流程參考圖。</w:t>
      </w:r>
    </w:p>
    <w:p w14:paraId="632E4E58"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5.7.</w:t>
      </w:r>
      <w:hyperlink r:id="rId6" w:history="1">
        <w:r w:rsidRPr="006D7D73">
          <w:rPr>
            <w:rFonts w:ascii="標楷體" w:eastAsia="標楷體" w:hAnsi="標楷體" w:hint="eastAsia"/>
          </w:rPr>
          <w:t>校園性侵害性騷擾或性霸凌防治準則</w:t>
        </w:r>
      </w:hyperlink>
      <w:r w:rsidRPr="006D7D73">
        <w:rPr>
          <w:rFonts w:ascii="標楷體" w:eastAsia="標楷體" w:hAnsi="標楷體" w:hint="eastAsia"/>
        </w:rPr>
        <w:t>。（教育部108.12.24）</w:t>
      </w:r>
    </w:p>
    <w:p w14:paraId="02807338"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5.8.教師法。（教育部108.06.05）</w:t>
      </w:r>
    </w:p>
    <w:p w14:paraId="14D0D861" w14:textId="77777777" w:rsidR="00506EE4" w:rsidRPr="006D7D73" w:rsidRDefault="00506EE4" w:rsidP="002702BE">
      <w:pPr>
        <w:ind w:leftChars="100" w:left="720" w:hangingChars="200" w:hanging="480"/>
        <w:rPr>
          <w:rFonts w:ascii="標楷體" w:eastAsia="標楷體" w:hAnsi="標楷體"/>
        </w:rPr>
      </w:pPr>
      <w:r w:rsidRPr="006D7D73">
        <w:rPr>
          <w:rFonts w:ascii="標楷體" w:eastAsia="標楷體" w:hAnsi="標楷體" w:hint="eastAsia"/>
        </w:rPr>
        <w:t>5.9.教育部處理性別平等教育法申復案件作業要點。(教育部99.9.10)</w:t>
      </w:r>
    </w:p>
    <w:p w14:paraId="2B09BB16" w14:textId="77777777" w:rsidR="00506EE4" w:rsidRPr="006D7D73" w:rsidRDefault="00506EE4" w:rsidP="002702BE">
      <w:pPr>
        <w:ind w:leftChars="100" w:left="720" w:hangingChars="200" w:hanging="480"/>
        <w:rPr>
          <w:rFonts w:ascii="標楷體" w:eastAsia="標楷體" w:hAnsi="標楷體"/>
        </w:rPr>
      </w:pPr>
    </w:p>
    <w:p w14:paraId="2F5B0E2A" w14:textId="77777777" w:rsidR="00506EE4" w:rsidRPr="006D7D73" w:rsidRDefault="00506EE4" w:rsidP="00DC1981">
      <w:pPr>
        <w:rPr>
          <w:rFonts w:ascii="標楷體" w:eastAsia="標楷體" w:hAnsi="標楷體"/>
        </w:rPr>
      </w:pPr>
    </w:p>
    <w:p w14:paraId="533B2C8F" w14:textId="77777777" w:rsidR="00506EE4" w:rsidRDefault="00506EE4" w:rsidP="00E17750">
      <w:pPr>
        <w:widowControl/>
        <w:jc w:val="center"/>
        <w:rPr>
          <w:rFonts w:ascii="標楷體" w:eastAsia="標楷體" w:hAnsi="標楷體"/>
        </w:rPr>
      </w:pPr>
      <w:r w:rsidRPr="006D7D73">
        <w:rPr>
          <w:rFonts w:ascii="標楷體" w:eastAsia="標楷體" w:hAnsi="標楷體"/>
        </w:rPr>
        <w:br w:type="page"/>
      </w:r>
    </w:p>
    <w:p w14:paraId="202958D8" w14:textId="77777777" w:rsidR="00506EE4" w:rsidRDefault="00506EE4" w:rsidP="00DB7E6F">
      <w:pPr>
        <w:sectPr w:rsidR="00506EE4" w:rsidSect="00DB7E6F">
          <w:type w:val="continuous"/>
          <w:pgSz w:w="11906" w:h="16838"/>
          <w:pgMar w:top="1134" w:right="1134" w:bottom="1134" w:left="1134" w:header="851" w:footer="992" w:gutter="0"/>
          <w:cols w:space="425"/>
          <w:docGrid w:type="lines" w:linePitch="360"/>
        </w:sectPr>
      </w:pPr>
    </w:p>
    <w:p w14:paraId="6D4229B6" w14:textId="77777777" w:rsidR="00DB0DE5" w:rsidRDefault="00DB0DE5"/>
    <w:sectPr w:rsidR="00DB0DE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E4"/>
    <w:rsid w:val="00506EE4"/>
    <w:rsid w:val="008D79D3"/>
    <w:rsid w:val="00DB0D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60DF"/>
  <w15:chartTrackingRefBased/>
  <w15:docId w15:val="{434F5944-5BFA-4C01-98C0-1EB7BBF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506EE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6EE4"/>
    <w:rPr>
      <w:color w:val="0563C1" w:themeColor="hyperlink"/>
      <w:u w:val="single"/>
    </w:rPr>
  </w:style>
  <w:style w:type="paragraph" w:customStyle="1" w:styleId="31">
    <w:name w:val="標題3"/>
    <w:basedOn w:val="3"/>
    <w:next w:val="3"/>
    <w:link w:val="32"/>
    <w:qFormat/>
    <w:rsid w:val="00506EE4"/>
    <w:pPr>
      <w:spacing w:line="0" w:lineRule="atLeast"/>
      <w:jc w:val="both"/>
    </w:pPr>
    <w:rPr>
      <w:rFonts w:ascii="標楷體" w:eastAsia="標楷體" w:hAnsi="標楷體"/>
      <w:sz w:val="28"/>
      <w:szCs w:val="28"/>
    </w:rPr>
  </w:style>
  <w:style w:type="character" w:customStyle="1" w:styleId="32">
    <w:name w:val="標題3 字元"/>
    <w:basedOn w:val="a0"/>
    <w:link w:val="31"/>
    <w:rsid w:val="00506EE4"/>
    <w:rPr>
      <w:rFonts w:ascii="標楷體" w:eastAsia="標楷體" w:hAnsi="標楷體" w:cstheme="majorBidi"/>
      <w:b/>
      <w:bCs/>
      <w:sz w:val="28"/>
      <w:szCs w:val="28"/>
    </w:rPr>
  </w:style>
  <w:style w:type="character" w:customStyle="1" w:styleId="30">
    <w:name w:val="標題 3 字元"/>
    <w:basedOn w:val="a0"/>
    <w:link w:val="3"/>
    <w:uiPriority w:val="9"/>
    <w:semiHidden/>
    <w:rsid w:val="00506EE4"/>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80069" TargetMode="External"/><Relationship Id="rId5" Type="http://schemas.openxmlformats.org/officeDocument/2006/relationships/package" Target="embeddings/Microsoft_Visio___788.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2022-04-07T18:34:00Z</dcterms:created>
  <dcterms:modified xsi:type="dcterms:W3CDTF">2022-04-07T18:44:00Z</dcterms:modified>
</cp:coreProperties>
</file>