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9D" w:rsidRPr="001C7A5C" w:rsidRDefault="0030139D" w:rsidP="0030139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54"/>
      <w:r w:rsidRPr="001C7A5C">
        <w:rPr>
          <w:rFonts w:ascii="標楷體" w:eastAsia="標楷體" w:hAnsi="標楷體" w:hint="eastAsia"/>
          <w:b/>
          <w:sz w:val="32"/>
          <w:szCs w:val="32"/>
        </w:rPr>
        <w:t>佛光大學 圖書暨資訊處 內控項目風險評</w:t>
      </w:r>
      <w:bookmarkStart w:id="1" w:name="_GoBack"/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>估彙總表</w:t>
      </w:r>
      <w:bookmarkEnd w:id="0"/>
    </w:p>
    <w:p w:rsidR="0030139D" w:rsidRPr="001B0A44" w:rsidRDefault="0030139D" w:rsidP="0030139D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8"/>
        <w:gridCol w:w="509"/>
        <w:gridCol w:w="1019"/>
        <w:gridCol w:w="3484"/>
        <w:gridCol w:w="1935"/>
        <w:gridCol w:w="723"/>
        <w:gridCol w:w="725"/>
        <w:gridCol w:w="721"/>
      </w:tblGrid>
      <w:tr w:rsidR="0030139D" w:rsidRPr="00D916F1" w:rsidTr="007D0258"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7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9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30139D" w:rsidRPr="00D916F1" w:rsidTr="007D0258">
        <w:trPr>
          <w:trHeight w:val="210"/>
        </w:trPr>
        <w:tc>
          <w:tcPr>
            <w:tcW w:w="37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D916F1">
              <w:rPr>
                <w:rFonts w:ascii="標楷體" w:eastAsia="標楷體" w:hAnsi="標楷體" w:hint="eastAsia"/>
                <w:kern w:val="0"/>
                <w:szCs w:val="24"/>
              </w:rPr>
              <w:t>圖資處</w:t>
            </w:r>
            <w:proofErr w:type="gramEnd"/>
          </w:p>
        </w:tc>
        <w:tc>
          <w:tcPr>
            <w:tcW w:w="2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5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圖1</w:t>
            </w:r>
          </w:p>
        </w:tc>
        <w:tc>
          <w:tcPr>
            <w:tcW w:w="17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30139D" w:rsidRPr="00D916F1" w:rsidTr="007D0258">
        <w:trPr>
          <w:trHeight w:val="21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圖2-1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圖2-2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圖3-1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圖3-2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圖3-3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圖4-1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圖4-2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圖5-1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圖5-2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圖6-1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圖6-2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2" w:name="OLE_LINK36"/>
            <w:bookmarkStart w:id="3" w:name="OLE_LINK37"/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  <w:bookmarkEnd w:id="2"/>
            <w:bookmarkEnd w:id="3"/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圖6-3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4" w:name="OLE_LINK38"/>
            <w:bookmarkStart w:id="5" w:name="OLE_LINK39"/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  <w:bookmarkEnd w:id="4"/>
            <w:bookmarkEnd w:id="5"/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圖7-1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1180-007-1系統復原計畫及測試作業-A.復原計畫及演練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圖7-2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1180-007-2系統復原計畫及測試作業-B.重要電腦設施之故障復原及測試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圖8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圖9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1180-009圖書資料徵集與採購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圖10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</w:t>
            </w: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1180-011圖書資料分類編目與上架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圖12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1180-012圖書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資料交贈處理</w:t>
            </w:r>
            <w:proofErr w:type="gramEnd"/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圖13-1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圖13-2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1180-013-2流通櫃台管理-B.讀者資料維護管理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權限生效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圖13-3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1180-013-3流通櫃台管理-C.讀者資料維護管理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權限失效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kern w:val="0"/>
                <w:szCs w:val="24"/>
                <w:u w:val="single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圖14-2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1180-014-2圖書資料典藏及書庫管理-B.圖書資料異常狀況處理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圖14-3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1180-014-3圖書資料典藏及書庫管理-C.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館設及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書庫維護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圖15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1180-015圖書資料淘汰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72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圖16-1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1180-016-1參考服務-A.參考咨詢服務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圖16-2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1180-016-2參考服務-B.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線上資料庫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推廣活動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圖17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圖18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圖19-1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1180-019-1館際合作事項-A.對外申請件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圖19-2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1180-019-2館際合作事項-B.對外申請件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圖19-3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1180-019-3館際合作事項-C.外來申請件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圖19-4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1180-019-4館際合作事項-D.外來申請件</w:t>
            </w:r>
            <w:proofErr w:type="gramStart"/>
            <w:r w:rsidRPr="00D916F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916F1"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9D" w:rsidRPr="00A7249C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7249C">
              <w:rPr>
                <w:rFonts w:ascii="標楷體" w:eastAsia="標楷體" w:hAnsi="標楷體" w:hint="eastAsia"/>
                <w:szCs w:val="24"/>
              </w:rPr>
              <w:t>圖20-1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9D" w:rsidRPr="00A7249C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7249C">
              <w:rPr>
                <w:rFonts w:ascii="標楷體" w:eastAsia="標楷體" w:hAnsi="標楷體" w:hint="eastAsia"/>
                <w:szCs w:val="24"/>
              </w:rPr>
              <w:t>1180-020-1系統委外開發流程</w:t>
            </w:r>
            <w:proofErr w:type="gramStart"/>
            <w:r w:rsidRPr="00A7249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A7249C">
              <w:rPr>
                <w:rFonts w:ascii="標楷體" w:eastAsia="標楷體" w:hAnsi="標楷體" w:hint="eastAsia"/>
                <w:szCs w:val="24"/>
              </w:rPr>
              <w:t>新系統招標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9D" w:rsidRPr="00A7249C" w:rsidRDefault="0030139D" w:rsidP="007D02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7249C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9D" w:rsidRPr="00A7249C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7249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9D" w:rsidRPr="00A7249C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7249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139D" w:rsidRPr="00A7249C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7249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0139D" w:rsidRPr="00D916F1" w:rsidTr="007D0258">
        <w:trPr>
          <w:trHeight w:val="180"/>
        </w:trPr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39D" w:rsidRPr="00D916F1" w:rsidRDefault="0030139D" w:rsidP="007D0258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39D" w:rsidRPr="00D916F1" w:rsidRDefault="0030139D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39D" w:rsidRPr="00A7249C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7249C">
              <w:rPr>
                <w:rFonts w:ascii="標楷體" w:eastAsia="標楷體" w:hAnsi="標楷體" w:hint="eastAsia"/>
                <w:szCs w:val="24"/>
              </w:rPr>
              <w:t>圖20-2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39D" w:rsidRPr="00A7249C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7249C">
              <w:rPr>
                <w:rFonts w:ascii="標楷體" w:eastAsia="標楷體" w:hAnsi="標楷體" w:hint="eastAsia"/>
                <w:szCs w:val="24"/>
              </w:rPr>
              <w:t>1180-020-2系統委外開發流程</w:t>
            </w:r>
            <w:proofErr w:type="gramStart"/>
            <w:r w:rsidRPr="00A7249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A7249C">
              <w:rPr>
                <w:rFonts w:ascii="標楷體" w:eastAsia="標楷體" w:hAnsi="標楷體" w:hint="eastAsia"/>
                <w:szCs w:val="24"/>
              </w:rPr>
              <w:t>現有系統功能擴增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39D" w:rsidRPr="00A7249C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7249C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39D" w:rsidRPr="00A7249C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7249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139D" w:rsidRPr="00A7249C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7249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139D" w:rsidRPr="00A7249C" w:rsidRDefault="0030139D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7249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</w:tbl>
    <w:p w:rsidR="0030139D" w:rsidRPr="00595B99" w:rsidRDefault="0030139D" w:rsidP="0030139D">
      <w:pPr>
        <w:widowControl/>
        <w:jc w:val="right"/>
        <w:rPr>
          <w:rFonts w:ascii="標楷體" w:eastAsia="標楷體" w:hAnsi="標楷體"/>
          <w:szCs w:val="24"/>
        </w:rPr>
      </w:pPr>
    </w:p>
    <w:p w:rsidR="0030139D" w:rsidRPr="00595B99" w:rsidRDefault="0030139D" w:rsidP="0030139D">
      <w:pPr>
        <w:widowControl/>
        <w:rPr>
          <w:rFonts w:ascii="標楷體" w:eastAsia="標楷體" w:hAnsi="標楷體"/>
          <w:szCs w:val="24"/>
        </w:rPr>
      </w:pPr>
      <w:r w:rsidRPr="00595B99">
        <w:rPr>
          <w:rFonts w:ascii="標楷體" w:eastAsia="標楷體" w:hAnsi="標楷體"/>
          <w:szCs w:val="24"/>
        </w:rPr>
        <w:br w:type="page"/>
      </w:r>
    </w:p>
    <w:p w:rsidR="0030139D" w:rsidRPr="001C7A5C" w:rsidRDefault="0030139D" w:rsidP="0030139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6" w:name="_Toc524360455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 圖書暨資訊處 風險圖像</w:t>
      </w:r>
      <w:bookmarkEnd w:id="6"/>
    </w:p>
    <w:p w:rsidR="0030139D" w:rsidRPr="001B0A44" w:rsidRDefault="0030139D" w:rsidP="0030139D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30139D" w:rsidRPr="001B0A44" w:rsidTr="007D0258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風險值（風險分布）</w:t>
            </w:r>
          </w:p>
        </w:tc>
      </w:tr>
      <w:tr w:rsidR="0030139D" w:rsidRPr="001B0A44" w:rsidTr="007D0258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  <w:p w:rsidR="0030139D" w:rsidRPr="001B0A44" w:rsidRDefault="0030139D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（圖1,圖3-1,圖3-2,圖3-3,圖5-1,圖5-2,圖6-1,圖6-2,圖7-1,圖7-2）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  <w:p w:rsidR="0030139D" w:rsidRPr="001B0A44" w:rsidRDefault="0030139D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（圖4-1,圖6-3）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  <w:p w:rsidR="0030139D" w:rsidRPr="001B0A44" w:rsidRDefault="0030139D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30139D" w:rsidRPr="001B0A44" w:rsidTr="007D0258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30139D" w:rsidRPr="001B0A44" w:rsidRDefault="0030139D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（圖8,圖9,圖10,圖11,圖13-3,圖14-3,圖17）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  <w:p w:rsidR="0030139D" w:rsidRPr="001B0A44" w:rsidRDefault="0030139D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A7249C">
              <w:rPr>
                <w:rFonts w:ascii="標楷體" w:eastAsia="標楷體" w:hAnsi="標楷體" w:hint="eastAsia"/>
                <w:color w:val="000000"/>
                <w:szCs w:val="24"/>
              </w:rPr>
              <w:t>圖20-1,圖20-2</w:t>
            </w: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  <w:p w:rsidR="0030139D" w:rsidRPr="001B0A44" w:rsidRDefault="0030139D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30139D" w:rsidRPr="001B0A44" w:rsidTr="007D0258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  <w:p w:rsidR="0030139D" w:rsidRPr="001B0A44" w:rsidRDefault="0030139D" w:rsidP="007D0258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（圖2-1,圖2-2,圖4-2,圖12,圖13-1,圖13-2,圖14-2,圖15,圖16-1,圖16-2,圖18,圖19-1,圖19-2,圖19-3,圖19-4）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30139D" w:rsidRPr="001B0A44" w:rsidRDefault="0030139D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  <w:p w:rsidR="0030139D" w:rsidRPr="001B0A44" w:rsidRDefault="0030139D" w:rsidP="007D02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30139D" w:rsidRPr="001B0A44" w:rsidTr="007D0258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139D" w:rsidRPr="001B0A44" w:rsidRDefault="0030139D" w:rsidP="007D0258">
            <w:pPr>
              <w:ind w:left="7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幾乎確定（3）</w:t>
            </w:r>
          </w:p>
        </w:tc>
      </w:tr>
      <w:tr w:rsidR="0030139D" w:rsidRPr="001B0A44" w:rsidTr="007D0258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139D" w:rsidRPr="001B0A44" w:rsidRDefault="0030139D" w:rsidP="007D0258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9D" w:rsidRPr="001B0A44" w:rsidRDefault="0030139D" w:rsidP="007D0258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0A44">
              <w:rPr>
                <w:rFonts w:ascii="標楷體" w:eastAsia="標楷體" w:hAnsi="標楷體" w:hint="eastAsia"/>
                <w:color w:val="000000"/>
                <w:szCs w:val="24"/>
              </w:rPr>
              <w:t>發生機率</w:t>
            </w:r>
          </w:p>
        </w:tc>
      </w:tr>
    </w:tbl>
    <w:p w:rsidR="0030139D" w:rsidRPr="001B0A44" w:rsidRDefault="0030139D" w:rsidP="0030139D">
      <w:pPr>
        <w:jc w:val="right"/>
        <w:rPr>
          <w:rFonts w:ascii="標楷體" w:eastAsia="標楷體" w:hAnsi="標楷體"/>
          <w:color w:val="000000"/>
          <w:sz w:val="26"/>
          <w:szCs w:val="26"/>
        </w:rPr>
      </w:pPr>
    </w:p>
    <w:p w:rsidR="0030139D" w:rsidRDefault="0030139D" w:rsidP="0030139D">
      <w:pPr>
        <w:tabs>
          <w:tab w:val="left" w:pos="960"/>
        </w:tabs>
        <w:adjustRightInd w:val="0"/>
        <w:textAlignment w:val="baseline"/>
        <w:rPr>
          <w:b/>
          <w:bdr w:val="single" w:sz="4" w:space="0" w:color="auto"/>
        </w:rPr>
      </w:pP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圖書暨資訊處現有內控項目經風險分析後，屬風險等級高者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2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項，風險等級中者</w:t>
      </w:r>
      <w:r w:rsidRPr="00A7249C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Pr="00A7249C">
        <w:rPr>
          <w:rFonts w:ascii="標楷體" w:eastAsia="標楷體" w:hAnsi="標楷體"/>
          <w:color w:val="000000" w:themeColor="text1"/>
          <w:kern w:val="0"/>
          <w:sz w:val="28"/>
          <w:szCs w:val="28"/>
          <w:u w:val="single"/>
        </w:rPr>
        <w:t>12</w:t>
      </w:r>
      <w:r w:rsidRPr="00A7249C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項，風險等級低者</w:t>
      </w:r>
      <w:r w:rsidRPr="001B0A44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22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項。</w:t>
      </w:r>
    </w:p>
    <w:p w:rsidR="003B6984" w:rsidRPr="0030139D" w:rsidRDefault="003B6984"/>
    <w:sectPr w:rsidR="003B6984" w:rsidRPr="0030139D" w:rsidSect="003013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9D"/>
    <w:rsid w:val="0030139D"/>
    <w:rsid w:val="003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3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2020-02-19T09:03:00Z</dcterms:created>
  <dcterms:modified xsi:type="dcterms:W3CDTF">2020-02-19T09:03:00Z</dcterms:modified>
</cp:coreProperties>
</file>