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6D6" w:rsidRPr="001C7A5C" w:rsidRDefault="006136D6" w:rsidP="006136D6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Toc524360516"/>
      <w:r w:rsidRPr="001C7A5C">
        <w:rPr>
          <w:rFonts w:ascii="標楷體" w:eastAsia="標楷體" w:hAnsi="標楷體"/>
          <w:b/>
          <w:sz w:val="32"/>
          <w:szCs w:val="32"/>
        </w:rPr>
        <w:t>佛光大學 會計室 內控項目風險評估彙總表</w:t>
      </w:r>
      <w:bookmarkStart w:id="1" w:name="_GoBack"/>
      <w:bookmarkEnd w:id="0"/>
      <w:bookmarkEnd w:id="1"/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12"/>
        <w:gridCol w:w="458"/>
        <w:gridCol w:w="975"/>
        <w:gridCol w:w="3396"/>
        <w:gridCol w:w="2156"/>
        <w:gridCol w:w="719"/>
        <w:gridCol w:w="719"/>
        <w:gridCol w:w="719"/>
      </w:tblGrid>
      <w:tr w:rsidR="006136D6" w:rsidRPr="00D916F1" w:rsidTr="00FD50BA">
        <w:trPr>
          <w:tblHeader/>
        </w:trPr>
        <w:tc>
          <w:tcPr>
            <w:tcW w:w="361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單位名稱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風險分布代號</w:t>
            </w:r>
          </w:p>
        </w:tc>
        <w:tc>
          <w:tcPr>
            <w:tcW w:w="1723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內控</w:t>
            </w:r>
            <w:r w:rsidRPr="00D916F1">
              <w:rPr>
                <w:rFonts w:ascii="標楷體" w:eastAsia="標楷體" w:hAnsi="標楷體"/>
                <w:szCs w:val="24"/>
              </w:rPr>
              <w:t>項目</w:t>
            </w:r>
            <w:r w:rsidRPr="00D916F1">
              <w:rPr>
                <w:rFonts w:ascii="標楷體" w:eastAsia="標楷體" w:hAnsi="標楷體" w:hint="eastAsia"/>
                <w:szCs w:val="24"/>
              </w:rPr>
              <w:t>編號及</w:t>
            </w:r>
            <w:r w:rsidRPr="00D916F1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1094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影響程度之敘述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影響程度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發生機率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風險值</w:t>
            </w:r>
          </w:p>
        </w:tc>
      </w:tr>
      <w:tr w:rsidR="006136D6" w:rsidRPr="00D916F1" w:rsidTr="00FD50BA">
        <w:trPr>
          <w:trHeight w:val="210"/>
        </w:trPr>
        <w:tc>
          <w:tcPr>
            <w:tcW w:w="361" w:type="pct"/>
            <w:vMerge w:val="restar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D916F1">
              <w:rPr>
                <w:rFonts w:ascii="標楷體" w:eastAsia="標楷體" w:hAnsi="標楷體" w:cs="Times New Roman"/>
                <w:kern w:val="0"/>
                <w:szCs w:val="24"/>
              </w:rPr>
              <w:t>會計室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會1</w:t>
            </w:r>
          </w:p>
        </w:tc>
        <w:tc>
          <w:tcPr>
            <w:tcW w:w="1723" w:type="pct"/>
            <w:shd w:val="clear" w:color="auto" w:fill="auto"/>
          </w:tcPr>
          <w:p w:rsidR="006136D6" w:rsidRPr="00D916F1" w:rsidRDefault="006136D6" w:rsidP="00FD50B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1170-001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投資有價證券與其他投資之決策、買賣、保管及記錄</w:t>
            </w:r>
          </w:p>
        </w:tc>
        <w:tc>
          <w:tcPr>
            <w:tcW w:w="1094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上級機關處分、會計師查核報告書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</w:tr>
      <w:tr w:rsidR="006136D6" w:rsidRPr="00D916F1" w:rsidTr="00FD50BA">
        <w:trPr>
          <w:trHeight w:val="210"/>
        </w:trPr>
        <w:tc>
          <w:tcPr>
            <w:tcW w:w="361" w:type="pct"/>
            <w:vMerge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1723" w:type="pct"/>
            <w:shd w:val="clear" w:color="auto" w:fill="auto"/>
          </w:tcPr>
          <w:p w:rsidR="006136D6" w:rsidRPr="00D916F1" w:rsidRDefault="006136D6" w:rsidP="00FD50B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1170-002不動產之處分、設定負擔、購置或出租。動產購置及附屬機構之設立、相關事業之辦理</w:t>
            </w:r>
          </w:p>
        </w:tc>
        <w:tc>
          <w:tcPr>
            <w:tcW w:w="1094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上級機關處分、會計師查核報告書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6136D6" w:rsidRPr="00D916F1" w:rsidTr="00FD50BA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3-1</w:t>
            </w:r>
          </w:p>
        </w:tc>
        <w:tc>
          <w:tcPr>
            <w:tcW w:w="1723" w:type="pct"/>
            <w:shd w:val="clear" w:color="auto" w:fill="auto"/>
          </w:tcPr>
          <w:p w:rsidR="006136D6" w:rsidRPr="00D916F1" w:rsidRDefault="006136D6" w:rsidP="00FD50B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1170-003-1募款、收受捐贈、借款、資本租賃之決策、執行及記錄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收受捐贈作業</w:t>
            </w:r>
          </w:p>
        </w:tc>
        <w:tc>
          <w:tcPr>
            <w:tcW w:w="1094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</w:tr>
      <w:tr w:rsidR="006136D6" w:rsidRPr="00D916F1" w:rsidTr="00FD50BA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3-2</w:t>
            </w:r>
          </w:p>
        </w:tc>
        <w:tc>
          <w:tcPr>
            <w:tcW w:w="1723" w:type="pct"/>
            <w:shd w:val="clear" w:color="auto" w:fill="auto"/>
          </w:tcPr>
          <w:p w:rsidR="006136D6" w:rsidRPr="00D916F1" w:rsidRDefault="006136D6" w:rsidP="00FD50B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1170-003-2募款、收受捐贈、借款、資本租賃之決策、執行及記錄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借款作業</w:t>
            </w:r>
          </w:p>
        </w:tc>
        <w:tc>
          <w:tcPr>
            <w:tcW w:w="1094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上級機關處分、會計師查核報告書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6136D6" w:rsidRPr="00D916F1" w:rsidTr="00FD50BA">
        <w:trPr>
          <w:trHeight w:val="609"/>
        </w:trPr>
        <w:tc>
          <w:tcPr>
            <w:tcW w:w="361" w:type="pct"/>
            <w:vMerge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會3-3</w:t>
            </w:r>
          </w:p>
        </w:tc>
        <w:tc>
          <w:tcPr>
            <w:tcW w:w="1723" w:type="pct"/>
            <w:shd w:val="clear" w:color="auto" w:fill="auto"/>
          </w:tcPr>
          <w:p w:rsidR="006136D6" w:rsidRPr="00D916F1" w:rsidRDefault="006136D6" w:rsidP="00FD50B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1170-003-3募款、收受捐贈、借款、資本租賃之決策、執行及記錄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資本租賃作業</w:t>
            </w:r>
          </w:p>
        </w:tc>
        <w:tc>
          <w:tcPr>
            <w:tcW w:w="1094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6136D6" w:rsidRPr="00D916F1" w:rsidTr="00FD50BA">
        <w:trPr>
          <w:trHeight w:val="609"/>
        </w:trPr>
        <w:tc>
          <w:tcPr>
            <w:tcW w:w="361" w:type="pct"/>
            <w:vMerge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1723" w:type="pct"/>
            <w:shd w:val="clear" w:color="auto" w:fill="auto"/>
          </w:tcPr>
          <w:p w:rsidR="006136D6" w:rsidRPr="00D916F1" w:rsidRDefault="006136D6" w:rsidP="00FD50B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1170-004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負債承諾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與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或有事項之管理及記錄</w:t>
            </w:r>
          </w:p>
        </w:tc>
        <w:tc>
          <w:tcPr>
            <w:tcW w:w="1094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</w:tr>
      <w:tr w:rsidR="006136D6" w:rsidRPr="00D916F1" w:rsidTr="00FD50BA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1723" w:type="pct"/>
            <w:shd w:val="clear" w:color="auto" w:fill="auto"/>
          </w:tcPr>
          <w:p w:rsidR="006136D6" w:rsidRPr="00D916F1" w:rsidRDefault="006136D6" w:rsidP="00FD50B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1170-005各項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獎補助款之收支、管理、執行及記錄</w:t>
            </w:r>
          </w:p>
        </w:tc>
        <w:tc>
          <w:tcPr>
            <w:tcW w:w="1094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上級機關處分、會計師查核報告書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6136D6" w:rsidRPr="00D916F1" w:rsidTr="00FD50BA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1723" w:type="pct"/>
            <w:shd w:val="clear" w:color="auto" w:fill="auto"/>
          </w:tcPr>
          <w:p w:rsidR="006136D6" w:rsidRPr="00D916F1" w:rsidRDefault="006136D6" w:rsidP="00FD50B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1170-006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代收款項與其他收支之審核、收支、管理及記錄</w:t>
            </w:r>
          </w:p>
        </w:tc>
        <w:tc>
          <w:tcPr>
            <w:tcW w:w="1094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</w:tr>
      <w:tr w:rsidR="006136D6" w:rsidRPr="00D916F1" w:rsidTr="00FD50BA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7-1</w:t>
            </w:r>
          </w:p>
        </w:tc>
        <w:tc>
          <w:tcPr>
            <w:tcW w:w="1723" w:type="pct"/>
            <w:shd w:val="clear" w:color="auto" w:fill="auto"/>
          </w:tcPr>
          <w:p w:rsidR="006136D6" w:rsidRPr="00D916F1" w:rsidRDefault="006136D6" w:rsidP="00FD50B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1170-007-1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預算與決算之編製，財務與非財務資訊之揭露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預算與決算之編製作業</w:t>
            </w:r>
          </w:p>
        </w:tc>
        <w:tc>
          <w:tcPr>
            <w:tcW w:w="1094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上級機關處分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6136D6" w:rsidRPr="00D916F1" w:rsidTr="00FD50BA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7-2</w:t>
            </w:r>
          </w:p>
        </w:tc>
        <w:tc>
          <w:tcPr>
            <w:tcW w:w="1723" w:type="pct"/>
            <w:shd w:val="clear" w:color="auto" w:fill="auto"/>
          </w:tcPr>
          <w:p w:rsidR="006136D6" w:rsidRPr="00D916F1" w:rsidRDefault="006136D6" w:rsidP="00FD50B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1170-007-2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預算與決算之編製，財務與非財務資訊之揭露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財務及非財務資訊揭露作業</w:t>
            </w:r>
          </w:p>
        </w:tc>
        <w:tc>
          <w:tcPr>
            <w:tcW w:w="1094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上級機關處分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6136D6" w:rsidRPr="00D916F1" w:rsidTr="00FD50BA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1723" w:type="pct"/>
            <w:shd w:val="clear" w:color="auto" w:fill="auto"/>
          </w:tcPr>
          <w:p w:rsidR="006136D6" w:rsidRPr="00D916F1" w:rsidRDefault="006136D6" w:rsidP="00FD50B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1170-008學雜費收入與退費之管理及記錄</w:t>
            </w:r>
          </w:p>
        </w:tc>
        <w:tc>
          <w:tcPr>
            <w:tcW w:w="1094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抱怨、會計師查核報告書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6136D6" w:rsidRPr="00D916F1" w:rsidTr="00FD50BA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1723" w:type="pct"/>
            <w:shd w:val="clear" w:color="auto" w:fill="auto"/>
          </w:tcPr>
          <w:p w:rsidR="006136D6" w:rsidRPr="00D916F1" w:rsidRDefault="006136D6" w:rsidP="00FD50B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1170-009學生住宿費收入與退費之管理及記錄</w:t>
            </w:r>
          </w:p>
        </w:tc>
        <w:tc>
          <w:tcPr>
            <w:tcW w:w="1094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抱怨、會計師查核報告書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6136D6" w:rsidRPr="00D916F1" w:rsidTr="00FD50BA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13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1723" w:type="pct"/>
            <w:shd w:val="clear" w:color="auto" w:fill="auto"/>
          </w:tcPr>
          <w:p w:rsidR="006136D6" w:rsidRPr="00D916F1" w:rsidRDefault="006136D6" w:rsidP="00FD50B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1170-010推廣教育收入與支出之管理及記錄</w:t>
            </w:r>
          </w:p>
        </w:tc>
        <w:tc>
          <w:tcPr>
            <w:tcW w:w="1094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6136D6" w:rsidRPr="00D916F1" w:rsidTr="00FD50BA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14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11-1</w:t>
            </w:r>
          </w:p>
        </w:tc>
        <w:tc>
          <w:tcPr>
            <w:tcW w:w="1723" w:type="pct"/>
            <w:shd w:val="clear" w:color="auto" w:fill="auto"/>
          </w:tcPr>
          <w:p w:rsidR="006136D6" w:rsidRPr="00D916F1" w:rsidRDefault="006136D6" w:rsidP="00FD50B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1170-011-1產學合作收入與支出之管理及記錄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收入</w:t>
            </w:r>
          </w:p>
        </w:tc>
        <w:tc>
          <w:tcPr>
            <w:tcW w:w="1094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6136D6" w:rsidRPr="00D916F1" w:rsidTr="00FD50BA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15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11-2</w:t>
            </w:r>
          </w:p>
        </w:tc>
        <w:tc>
          <w:tcPr>
            <w:tcW w:w="1723" w:type="pct"/>
            <w:shd w:val="clear" w:color="auto" w:fill="auto"/>
          </w:tcPr>
          <w:p w:rsidR="006136D6" w:rsidRPr="00D916F1" w:rsidRDefault="006136D6" w:rsidP="00FD50B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1170-011-2產學合作收入與支出之管理及記錄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支出</w:t>
            </w:r>
          </w:p>
        </w:tc>
        <w:tc>
          <w:tcPr>
            <w:tcW w:w="1094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6136D6" w:rsidRPr="00D916F1" w:rsidRDefault="006136D6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</w:tr>
    </w:tbl>
    <w:p w:rsidR="006136D6" w:rsidRPr="001B0A44" w:rsidRDefault="006136D6" w:rsidP="006136D6">
      <w:pPr>
        <w:rPr>
          <w:rFonts w:ascii="標楷體" w:eastAsia="標楷體" w:hAnsi="標楷體"/>
          <w:sz w:val="20"/>
        </w:rPr>
      </w:pPr>
      <w:r w:rsidRPr="001B0A44">
        <w:rPr>
          <w:rFonts w:ascii="標楷體" w:eastAsia="標楷體" w:hAnsi="標楷體"/>
          <w:sz w:val="20"/>
        </w:rPr>
        <w:br w:type="page"/>
      </w:r>
    </w:p>
    <w:p w:rsidR="006136D6" w:rsidRPr="001C7A5C" w:rsidRDefault="006136D6" w:rsidP="006136D6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2" w:name="_Toc524360517"/>
      <w:r w:rsidRPr="001C7A5C">
        <w:rPr>
          <w:rFonts w:ascii="標楷體" w:eastAsia="標楷體" w:hAnsi="標楷體"/>
          <w:b/>
          <w:sz w:val="32"/>
          <w:szCs w:val="32"/>
        </w:rPr>
        <w:lastRenderedPageBreak/>
        <w:t>佛光大學 會計室 風險圖像</w:t>
      </w:r>
      <w:bookmarkEnd w:id="2"/>
    </w:p>
    <w:p w:rsidR="006136D6" w:rsidRPr="001B0A44" w:rsidRDefault="006136D6" w:rsidP="006136D6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0"/>
        <w:gridCol w:w="2568"/>
        <w:gridCol w:w="2568"/>
        <w:gridCol w:w="2568"/>
      </w:tblGrid>
      <w:tr w:rsidR="006136D6" w:rsidRPr="001B0A44" w:rsidTr="00FD50BA">
        <w:trPr>
          <w:trHeight w:val="500"/>
          <w:jc w:val="center"/>
        </w:trPr>
        <w:tc>
          <w:tcPr>
            <w:tcW w:w="1091" w:type="pct"/>
            <w:shd w:val="clear" w:color="auto" w:fill="D9D9D9"/>
            <w:vAlign w:val="center"/>
          </w:tcPr>
          <w:p w:rsidR="006136D6" w:rsidRPr="001B0A44" w:rsidRDefault="006136D6" w:rsidP="00FD50BA">
            <w:pPr>
              <w:ind w:left="961" w:hanging="96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影響程度</w:t>
            </w:r>
          </w:p>
        </w:tc>
        <w:tc>
          <w:tcPr>
            <w:tcW w:w="3909" w:type="pct"/>
            <w:gridSpan w:val="3"/>
            <w:vAlign w:val="center"/>
          </w:tcPr>
          <w:p w:rsidR="006136D6" w:rsidRPr="001B0A44" w:rsidRDefault="006136D6" w:rsidP="00FD50BA">
            <w:pPr>
              <w:ind w:left="961" w:hanging="96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風險值（風險分布）</w:t>
            </w:r>
          </w:p>
        </w:tc>
      </w:tr>
      <w:tr w:rsidR="006136D6" w:rsidRPr="001B0A44" w:rsidTr="00FD50BA">
        <w:trPr>
          <w:trHeight w:val="721"/>
          <w:jc w:val="center"/>
        </w:trPr>
        <w:tc>
          <w:tcPr>
            <w:tcW w:w="1091" w:type="pct"/>
            <w:shd w:val="clear" w:color="auto" w:fill="F2F2F2"/>
            <w:vAlign w:val="center"/>
          </w:tcPr>
          <w:p w:rsidR="006136D6" w:rsidRPr="001B0A44" w:rsidRDefault="006136D6" w:rsidP="00FD50BA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非常嚴重（3）</w:t>
            </w:r>
          </w:p>
        </w:tc>
        <w:tc>
          <w:tcPr>
            <w:tcW w:w="1303" w:type="pct"/>
            <w:tcBorders>
              <w:bottom w:val="single" w:sz="4" w:space="0" w:color="auto"/>
            </w:tcBorders>
            <w:vAlign w:val="center"/>
          </w:tcPr>
          <w:p w:rsidR="006136D6" w:rsidRPr="001B0A44" w:rsidRDefault="006136D6" w:rsidP="00FD50BA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3</w:t>
            </w:r>
          </w:p>
          <w:p w:rsidR="006136D6" w:rsidRPr="001B0A44" w:rsidRDefault="006136D6" w:rsidP="00FD50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,會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, 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3-2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,會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5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,會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7-1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,會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7-2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,會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8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,會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9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03" w:type="pct"/>
            <w:tcBorders>
              <w:right w:val="single" w:sz="4" w:space="0" w:color="auto"/>
            </w:tcBorders>
            <w:shd w:val="clear" w:color="auto" w:fill="BFBFBF"/>
            <w:vAlign w:val="center"/>
          </w:tcPr>
          <w:p w:rsidR="006136D6" w:rsidRPr="001B0A44" w:rsidRDefault="006136D6" w:rsidP="00FD50BA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6</w:t>
            </w:r>
          </w:p>
          <w:p w:rsidR="006136D6" w:rsidRPr="001B0A44" w:rsidRDefault="006136D6" w:rsidP="00FD50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03" w:type="pct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6136D6" w:rsidRPr="001B0A44" w:rsidRDefault="006136D6" w:rsidP="00FD50BA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9</w:t>
            </w:r>
          </w:p>
          <w:p w:rsidR="006136D6" w:rsidRPr="001B0A44" w:rsidRDefault="006136D6" w:rsidP="00FD50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 xml:space="preserve">（ 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</w:tr>
      <w:tr w:rsidR="006136D6" w:rsidRPr="001B0A44" w:rsidTr="00FD50BA">
        <w:trPr>
          <w:trHeight w:val="477"/>
          <w:jc w:val="center"/>
        </w:trPr>
        <w:tc>
          <w:tcPr>
            <w:tcW w:w="1091" w:type="pct"/>
            <w:shd w:val="clear" w:color="auto" w:fill="F2F2F2"/>
            <w:vAlign w:val="center"/>
          </w:tcPr>
          <w:p w:rsidR="006136D6" w:rsidRPr="001B0A44" w:rsidRDefault="006136D6" w:rsidP="00FD50BA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嚴重（2）</w:t>
            </w:r>
          </w:p>
        </w:tc>
        <w:tc>
          <w:tcPr>
            <w:tcW w:w="1303" w:type="pct"/>
            <w:shd w:val="clear" w:color="auto" w:fill="auto"/>
            <w:vAlign w:val="center"/>
          </w:tcPr>
          <w:p w:rsidR="006136D6" w:rsidRPr="001B0A44" w:rsidRDefault="006136D6" w:rsidP="00FD50BA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2</w:t>
            </w:r>
          </w:p>
          <w:p w:rsidR="006136D6" w:rsidRPr="001B0A44" w:rsidRDefault="006136D6" w:rsidP="00FD50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 xml:space="preserve">（ 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0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136D6" w:rsidRPr="001B0A44" w:rsidRDefault="006136D6" w:rsidP="00FD50BA">
            <w:pPr>
              <w:ind w:left="839" w:hanging="839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4</w:t>
            </w:r>
          </w:p>
          <w:p w:rsidR="006136D6" w:rsidRPr="001B0A44" w:rsidRDefault="006136D6" w:rsidP="00FD50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03" w:type="pct"/>
            <w:shd w:val="clear" w:color="auto" w:fill="BFBFBF"/>
            <w:vAlign w:val="center"/>
          </w:tcPr>
          <w:p w:rsidR="006136D6" w:rsidRPr="001B0A44" w:rsidRDefault="006136D6" w:rsidP="00FD50BA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6</w:t>
            </w:r>
          </w:p>
          <w:p w:rsidR="006136D6" w:rsidRPr="001B0A44" w:rsidRDefault="006136D6" w:rsidP="00FD50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 xml:space="preserve">（ 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</w:tr>
      <w:tr w:rsidR="006136D6" w:rsidRPr="001B0A44" w:rsidTr="00FD50BA">
        <w:trPr>
          <w:trHeight w:val="659"/>
          <w:jc w:val="center"/>
        </w:trPr>
        <w:tc>
          <w:tcPr>
            <w:tcW w:w="1091" w:type="pct"/>
            <w:shd w:val="clear" w:color="auto" w:fill="F2F2F2"/>
            <w:vAlign w:val="center"/>
          </w:tcPr>
          <w:p w:rsidR="006136D6" w:rsidRPr="001B0A44" w:rsidRDefault="006136D6" w:rsidP="00FD50BA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輕微（1）</w:t>
            </w:r>
          </w:p>
        </w:tc>
        <w:tc>
          <w:tcPr>
            <w:tcW w:w="130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36D6" w:rsidRPr="001B0A44" w:rsidRDefault="006136D6" w:rsidP="00FD50BA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1</w:t>
            </w:r>
          </w:p>
          <w:p w:rsidR="006136D6" w:rsidRPr="001B0A44" w:rsidRDefault="006136D6" w:rsidP="00FD50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3-1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,會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3-3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,會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4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,會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6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,）</w:t>
            </w:r>
          </w:p>
        </w:tc>
        <w:tc>
          <w:tcPr>
            <w:tcW w:w="1303" w:type="pct"/>
            <w:shd w:val="clear" w:color="auto" w:fill="auto"/>
            <w:vAlign w:val="center"/>
          </w:tcPr>
          <w:p w:rsidR="006136D6" w:rsidRPr="001B0A44" w:rsidRDefault="006136D6" w:rsidP="00FD50BA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2</w:t>
            </w:r>
          </w:p>
          <w:p w:rsidR="006136D6" w:rsidRPr="001B0A44" w:rsidRDefault="006136D6" w:rsidP="00FD50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10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,會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11-1,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11-2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03" w:type="pct"/>
            <w:vAlign w:val="center"/>
          </w:tcPr>
          <w:p w:rsidR="006136D6" w:rsidRPr="001B0A44" w:rsidRDefault="006136D6" w:rsidP="00FD50BA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3</w:t>
            </w:r>
          </w:p>
          <w:p w:rsidR="006136D6" w:rsidRPr="001B0A44" w:rsidRDefault="006136D6" w:rsidP="00FD50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</w:tr>
      <w:tr w:rsidR="006136D6" w:rsidRPr="001B0A44" w:rsidTr="00FD50BA">
        <w:trPr>
          <w:trHeight w:val="556"/>
          <w:jc w:val="center"/>
        </w:trPr>
        <w:tc>
          <w:tcPr>
            <w:tcW w:w="109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136D6" w:rsidRPr="001B0A44" w:rsidRDefault="006136D6" w:rsidP="00FD50BA">
            <w:pPr>
              <w:ind w:left="72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03" w:type="pct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6136D6" w:rsidRPr="001B0A44" w:rsidRDefault="006136D6" w:rsidP="00FD50BA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幾乎不可能（1）</w:t>
            </w:r>
          </w:p>
        </w:tc>
        <w:tc>
          <w:tcPr>
            <w:tcW w:w="1303" w:type="pct"/>
            <w:shd w:val="clear" w:color="auto" w:fill="F2F2F2"/>
            <w:vAlign w:val="center"/>
          </w:tcPr>
          <w:p w:rsidR="006136D6" w:rsidRPr="001B0A44" w:rsidRDefault="006136D6" w:rsidP="00FD50BA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可能（2）</w:t>
            </w:r>
          </w:p>
        </w:tc>
        <w:tc>
          <w:tcPr>
            <w:tcW w:w="1303" w:type="pct"/>
            <w:shd w:val="clear" w:color="auto" w:fill="F2F2F2"/>
            <w:vAlign w:val="center"/>
          </w:tcPr>
          <w:p w:rsidR="006136D6" w:rsidRPr="001B0A44" w:rsidRDefault="006136D6" w:rsidP="00FD50BA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幾乎確定（3）</w:t>
            </w:r>
          </w:p>
        </w:tc>
      </w:tr>
      <w:tr w:rsidR="006136D6" w:rsidRPr="001B0A44" w:rsidTr="00FD50BA">
        <w:trPr>
          <w:trHeight w:val="540"/>
          <w:jc w:val="center"/>
        </w:trPr>
        <w:tc>
          <w:tcPr>
            <w:tcW w:w="109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136D6" w:rsidRPr="001B0A44" w:rsidRDefault="006136D6" w:rsidP="00FD50BA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909" w:type="pct"/>
            <w:gridSpan w:val="3"/>
            <w:tcBorders>
              <w:left w:val="single" w:sz="4" w:space="0" w:color="auto"/>
            </w:tcBorders>
            <w:shd w:val="clear" w:color="auto" w:fill="BFBFBF"/>
            <w:vAlign w:val="center"/>
          </w:tcPr>
          <w:p w:rsidR="006136D6" w:rsidRPr="001B0A44" w:rsidRDefault="006136D6" w:rsidP="00FD50BA">
            <w:pPr>
              <w:ind w:left="961" w:hanging="96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發生機率</w:t>
            </w:r>
          </w:p>
        </w:tc>
      </w:tr>
    </w:tbl>
    <w:p w:rsidR="006136D6" w:rsidRPr="001B0A44" w:rsidRDefault="006136D6" w:rsidP="006136D6">
      <w:pPr>
        <w:jc w:val="right"/>
        <w:rPr>
          <w:rFonts w:ascii="標楷體" w:eastAsia="標楷體" w:hAnsi="標楷體" w:cs="Times New Roman"/>
          <w:szCs w:val="24"/>
        </w:rPr>
      </w:pPr>
    </w:p>
    <w:p w:rsidR="001A495A" w:rsidRDefault="006136D6" w:rsidP="006136D6">
      <w:r w:rsidRPr="001B0A44">
        <w:rPr>
          <w:rFonts w:ascii="標楷體" w:eastAsia="標楷體" w:hAnsi="標楷體" w:cs="Times New Roman"/>
          <w:sz w:val="28"/>
          <w:szCs w:val="28"/>
        </w:rPr>
        <w:t>會計室現有內控項目經風險分析後，屬風險等級高者</w:t>
      </w:r>
      <w:r w:rsidRPr="001B0A44">
        <w:rPr>
          <w:rFonts w:ascii="標楷體" w:eastAsia="標楷體" w:hAnsi="標楷體" w:cs="Times New Roman"/>
          <w:sz w:val="28"/>
          <w:szCs w:val="28"/>
          <w:u w:val="single"/>
        </w:rPr>
        <w:t xml:space="preserve"> 0 </w:t>
      </w:r>
      <w:r w:rsidRPr="001B0A44">
        <w:rPr>
          <w:rFonts w:ascii="標楷體" w:eastAsia="標楷體" w:hAnsi="標楷體" w:cs="Times New Roman"/>
          <w:sz w:val="28"/>
          <w:szCs w:val="28"/>
        </w:rPr>
        <w:t>項，風險等級中者</w:t>
      </w:r>
      <w:r w:rsidRPr="001B0A44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8 </w:t>
      </w:r>
      <w:r w:rsidRPr="001B0A44">
        <w:rPr>
          <w:rFonts w:ascii="標楷體" w:eastAsia="標楷體" w:hAnsi="標楷體" w:cs="Times New Roman"/>
          <w:sz w:val="28"/>
          <w:szCs w:val="28"/>
        </w:rPr>
        <w:t>項，風險等級低者</w:t>
      </w:r>
      <w:r w:rsidRPr="001B0A44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cs="Times New Roman" w:hint="eastAsia"/>
          <w:sz w:val="28"/>
          <w:szCs w:val="28"/>
          <w:u w:val="single"/>
        </w:rPr>
        <w:t>7</w:t>
      </w:r>
      <w:r w:rsidRPr="001B0A44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cs="Times New Roman"/>
          <w:sz w:val="28"/>
          <w:szCs w:val="28"/>
        </w:rPr>
        <w:t>項。</w:t>
      </w:r>
    </w:p>
    <w:sectPr w:rsidR="001A495A" w:rsidSect="006136D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6D6"/>
    <w:rsid w:val="001A495A"/>
    <w:rsid w:val="006136D6"/>
    <w:rsid w:val="0075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6D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36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6D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36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2018-12-26T01:49:00Z</dcterms:created>
  <dcterms:modified xsi:type="dcterms:W3CDTF">2018-12-26T01:49:00Z</dcterms:modified>
</cp:coreProperties>
</file>